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FA652" w14:textId="78B33BEC" w:rsidR="004E434C" w:rsidRPr="00F93B10" w:rsidRDefault="004E434C" w:rsidP="001A6419">
      <w:pPr>
        <w:jc w:val="both"/>
        <w:rPr>
          <w:rFonts w:ascii="Verdana" w:eastAsia="Verdana" w:hAnsi="Verdana" w:cs="Verdana"/>
          <w:b/>
          <w:bCs/>
          <w:sz w:val="22"/>
          <w:szCs w:val="22"/>
        </w:rPr>
      </w:pPr>
      <w:r w:rsidRPr="00F93B10">
        <w:rPr>
          <w:rFonts w:ascii="Verdana" w:eastAsia="Verdana" w:hAnsi="Verdana" w:cs="Verdana"/>
          <w:b/>
          <w:bCs/>
          <w:sz w:val="22"/>
          <w:szCs w:val="22"/>
        </w:rPr>
        <w:t>JUSTIFICACIÓN CONTRATO COMBUSTIBLE PNN FARALLONES BUENAVENTURA</w:t>
      </w:r>
    </w:p>
    <w:p w14:paraId="0EF1D1C5" w14:textId="72A76C1B" w:rsidR="004E434C" w:rsidRPr="00F93B10" w:rsidRDefault="004E434C" w:rsidP="001A6419">
      <w:pPr>
        <w:jc w:val="both"/>
        <w:rPr>
          <w:rFonts w:ascii="Verdana" w:eastAsia="Verdana" w:hAnsi="Verdana" w:cs="Verdana"/>
          <w:sz w:val="22"/>
          <w:szCs w:val="22"/>
        </w:rPr>
      </w:pPr>
    </w:p>
    <w:p w14:paraId="15CE42EA" w14:textId="49675B89" w:rsidR="00097218" w:rsidRPr="00F93B10" w:rsidRDefault="00097218" w:rsidP="001A6419">
      <w:pPr>
        <w:pStyle w:val="NormalWeb"/>
        <w:shd w:val="clear" w:color="auto" w:fill="FFFFFF"/>
        <w:spacing w:before="0" w:beforeAutospacing="0" w:after="0" w:afterAutospacing="0"/>
        <w:jc w:val="both"/>
        <w:rPr>
          <w:rFonts w:ascii="Verdana" w:hAnsi="Verdana"/>
          <w:sz w:val="22"/>
          <w:szCs w:val="22"/>
        </w:rPr>
      </w:pPr>
      <w:r w:rsidRPr="00F93B10">
        <w:rPr>
          <w:rFonts w:ascii="Verdana" w:hAnsi="Verdana"/>
          <w:color w:val="000000"/>
          <w:sz w:val="22"/>
          <w:szCs w:val="22"/>
        </w:rPr>
        <w:t>La zona de los Farallones de Cali fue declarada y reservada como Parque Nacional Natural mediante Resolución No 092 del 15 de julio de 1968, con el fin de “preservar la flora, la fauna, el caudal de los lagos y los ríos, las bellezas escénicas naturales y los yacimientos arqueológicos”.  El Parque está ubicado sobre la Cordillera Occidental, hacia la parte suroccidental del departamento del Valle del Cauca, en jurisdicción de los municipios de Cali, Jamundí, Dagua y Buenaventura, las coordenadas geográficas son 3° 39´ 55,5 - 3° 6´ 56,7 de latitud norte y entre 77° 6´ 6.69 - 76° 35´ 43.6 de longitud oeste. La extensión del área protegida es de 196.954,5 hectáreas. Sus linderos fueron registrados ante la Oficina de Registro de Instrumentos Públicos de Cali en el Folio de Matrícula Inmobiliaria No. 370-218213. </w:t>
      </w:r>
    </w:p>
    <w:p w14:paraId="24E9D304" w14:textId="77777777" w:rsidR="00097218" w:rsidRPr="00F93B10" w:rsidRDefault="00097218" w:rsidP="001A6419">
      <w:pPr>
        <w:pStyle w:val="NormalWeb"/>
        <w:shd w:val="clear" w:color="auto" w:fill="FFFFFF"/>
        <w:spacing w:before="0" w:beforeAutospacing="0" w:after="0" w:afterAutospacing="0"/>
        <w:jc w:val="both"/>
        <w:rPr>
          <w:rFonts w:ascii="Verdana" w:hAnsi="Verdana"/>
          <w:sz w:val="22"/>
          <w:szCs w:val="22"/>
        </w:rPr>
      </w:pPr>
    </w:p>
    <w:p w14:paraId="39510949" w14:textId="77777777" w:rsidR="00097218" w:rsidRPr="00F93B10" w:rsidRDefault="00097218" w:rsidP="001A6419">
      <w:pPr>
        <w:pStyle w:val="NormalWeb"/>
        <w:shd w:val="clear" w:color="auto" w:fill="FFFFFF"/>
        <w:spacing w:before="0" w:beforeAutospacing="0" w:after="0" w:afterAutospacing="0"/>
        <w:jc w:val="both"/>
        <w:rPr>
          <w:rFonts w:ascii="Verdana" w:hAnsi="Verdana"/>
          <w:sz w:val="22"/>
          <w:szCs w:val="22"/>
        </w:rPr>
      </w:pPr>
      <w:r w:rsidRPr="00F93B10">
        <w:rPr>
          <w:rFonts w:ascii="Verdana" w:hAnsi="Verdana"/>
          <w:color w:val="000000"/>
          <w:sz w:val="22"/>
          <w:szCs w:val="22"/>
        </w:rPr>
        <w:t>El Parque está expuesto a diferentes amenazas y presiones, especialmente de origen antrópico, que afectan los valores objeto de conservación, la integridad ecológica del área y su grado de resiliencia ante los disturbios naturales y antrópicos, su adaptación al cambio climático y la capacidad de proveer servicios ecosistémicos claves para la adaptación de las poblaciones humanas que se benefician de estos servicios a nivel local, regional y nacional. </w:t>
      </w:r>
    </w:p>
    <w:p w14:paraId="74DDFE46" w14:textId="77777777" w:rsidR="00097218" w:rsidRPr="00F93B10" w:rsidRDefault="00097218" w:rsidP="001A6419">
      <w:pPr>
        <w:pStyle w:val="NormalWeb"/>
        <w:shd w:val="clear" w:color="auto" w:fill="FFFFFF"/>
        <w:spacing w:before="0" w:beforeAutospacing="0" w:after="0" w:afterAutospacing="0"/>
        <w:jc w:val="both"/>
        <w:rPr>
          <w:rFonts w:ascii="Verdana" w:hAnsi="Verdana"/>
          <w:sz w:val="22"/>
          <w:szCs w:val="22"/>
        </w:rPr>
      </w:pPr>
    </w:p>
    <w:p w14:paraId="0370AB96" w14:textId="77777777" w:rsidR="00097218" w:rsidRPr="00F93B10" w:rsidRDefault="00097218" w:rsidP="001A6419">
      <w:pPr>
        <w:pStyle w:val="NormalWeb"/>
        <w:shd w:val="clear" w:color="auto" w:fill="FFFFFF"/>
        <w:spacing w:before="0" w:beforeAutospacing="0" w:after="0" w:afterAutospacing="0"/>
        <w:jc w:val="both"/>
        <w:rPr>
          <w:rFonts w:ascii="Verdana" w:hAnsi="Verdana"/>
          <w:sz w:val="22"/>
          <w:szCs w:val="22"/>
        </w:rPr>
      </w:pPr>
      <w:r w:rsidRPr="00F93B10">
        <w:rPr>
          <w:rFonts w:ascii="Verdana" w:hAnsi="Verdana"/>
          <w:color w:val="000000"/>
          <w:sz w:val="22"/>
          <w:szCs w:val="22"/>
        </w:rPr>
        <w:t xml:space="preserve">Es importante resaltar que, entre los ecosistemas presentes en el PNN Farallones de Cali se encuentra el ecosistema de Páramo, el cual es un Valor Objeto de Conservación para el área protegida debido a su importancia como generador de servicios ecosistémicos (provisionamiento de agua, entre otros), su alta biodiversidad y endemismos, cuenta con una extensión de 4.545 ha aproximadamente, igualmente, es considerado un ecosistema estratégico y prioritario para la conservación de acuerdo a la Ley 1930 de 2018 “Por medio del a cuál se dictan disposiciones para la gestión integral de los páramos en Colombia”. Lo anterior, realza la importancia de realizar labores encaminadas a la conservación de dicho ecosistema, como las establecidas en las distintas líneas estrategias del área protegida, que además de conservar buscan mitigar las presiones existentes y evitar la llegada de nuevas amenazas al páramo, para lo cual, es importante la realización de acciones en los ecosistemas adyacentes que permitan desde la prevención hacer una contención a las presiones que puedan llegar al ecosistema de páramo, igualmente, se deben priorizar estas acciones en los ecosistemas aledaños dado a que la conectividad ecológica entre páramos y bosques andinos es crucial para la biodiversidad y el suministro de agua, actuando como corredores naturales que permiten el movimiento de especies y el flujo hídrico, uniendo diferentes pisos altitudinales (bosques </w:t>
      </w:r>
      <w:proofErr w:type="spellStart"/>
      <w:r w:rsidRPr="00F93B10">
        <w:rPr>
          <w:rFonts w:ascii="Verdana" w:hAnsi="Verdana"/>
          <w:color w:val="000000"/>
          <w:sz w:val="22"/>
          <w:szCs w:val="22"/>
        </w:rPr>
        <w:t>subandinos</w:t>
      </w:r>
      <w:proofErr w:type="spellEnd"/>
      <w:r w:rsidRPr="00F93B10">
        <w:rPr>
          <w:rFonts w:ascii="Verdana" w:hAnsi="Verdana"/>
          <w:color w:val="000000"/>
          <w:sz w:val="22"/>
          <w:szCs w:val="22"/>
        </w:rPr>
        <w:t>, andinos y páramos) en un gran "puente" vital para la salud del ecosistema. Para lo anterior, desde el área protegida se prioriza la realización de acciones oportunas que generen procesos de conservación en la entidad en el marco de la Prevención vigilancia y control, Educación ambiental, Investigación y Monitoreo, Restauración Ecológica, Relacionamiento campesino, Estrategias Especiales de Manejo, Administración del Recurso hídrico, Ecoturismo, entre otras líneas estratégicas. </w:t>
      </w:r>
    </w:p>
    <w:p w14:paraId="14733931" w14:textId="77777777" w:rsidR="00097218" w:rsidRPr="00F93B10" w:rsidRDefault="00097218" w:rsidP="001A6419">
      <w:pPr>
        <w:pStyle w:val="NormalWeb"/>
        <w:shd w:val="clear" w:color="auto" w:fill="FFFFFF"/>
        <w:spacing w:before="0" w:beforeAutospacing="0" w:after="0" w:afterAutospacing="0"/>
        <w:jc w:val="both"/>
        <w:rPr>
          <w:rFonts w:ascii="Verdana" w:hAnsi="Verdana"/>
          <w:sz w:val="22"/>
          <w:szCs w:val="22"/>
        </w:rPr>
      </w:pPr>
    </w:p>
    <w:p w14:paraId="2365B9E9" w14:textId="346E30E0" w:rsidR="00097218" w:rsidRPr="00F93B10" w:rsidRDefault="00097218" w:rsidP="001A6419">
      <w:pPr>
        <w:pStyle w:val="NormalWeb"/>
        <w:shd w:val="clear" w:color="auto" w:fill="FFFFFF"/>
        <w:spacing w:before="0" w:beforeAutospacing="0" w:after="0" w:afterAutospacing="0"/>
        <w:jc w:val="both"/>
        <w:rPr>
          <w:rFonts w:ascii="Verdana" w:hAnsi="Verdana"/>
          <w:color w:val="000000"/>
          <w:sz w:val="22"/>
          <w:szCs w:val="22"/>
          <w:shd w:val="clear" w:color="auto" w:fill="FFFFFF"/>
        </w:rPr>
      </w:pPr>
      <w:r w:rsidRPr="00F93B10">
        <w:rPr>
          <w:rFonts w:ascii="Verdana" w:hAnsi="Verdana"/>
          <w:color w:val="000000"/>
          <w:sz w:val="22"/>
          <w:szCs w:val="22"/>
          <w:shd w:val="clear" w:color="auto" w:fill="FFFFFF"/>
        </w:rPr>
        <w:t>Para la conservación del Parque Nacional Natural Farallones de Cali es necesario el desarrollo de acciones técnicas y operativas orientadas al fortalecimiento de la gestión ambiental, la protección de los ecosistemas estratégicos andinos y de páramo y la atención de las presiones antrópicas que afectan los objetos de conservación del área protegida. Estas acciones deben considerar la complejidad ambiental, social y étnica del territorio, lo que exige un abordaje integral y diferencial en la gestión del Parque.</w:t>
      </w:r>
    </w:p>
    <w:p w14:paraId="776AC6DF" w14:textId="77777777" w:rsidR="00D14A94" w:rsidRPr="00F93B10" w:rsidRDefault="00D14A94" w:rsidP="001A6419">
      <w:pPr>
        <w:pStyle w:val="NormalWeb"/>
        <w:shd w:val="clear" w:color="auto" w:fill="FFFFFF"/>
        <w:spacing w:before="0" w:beforeAutospacing="0" w:after="0" w:afterAutospacing="0"/>
        <w:jc w:val="both"/>
        <w:rPr>
          <w:rFonts w:ascii="Verdana" w:hAnsi="Verdana"/>
          <w:color w:val="000000"/>
          <w:sz w:val="22"/>
          <w:szCs w:val="22"/>
          <w:shd w:val="clear" w:color="auto" w:fill="FFFFFF"/>
        </w:rPr>
      </w:pPr>
    </w:p>
    <w:p w14:paraId="3A2BCB7F" w14:textId="41F6EBB6" w:rsidR="00D14A94" w:rsidRPr="00F93B10" w:rsidRDefault="00D14A94" w:rsidP="001A6419">
      <w:pPr>
        <w:spacing w:before="100" w:beforeAutospacing="1" w:after="100" w:afterAutospacing="1"/>
        <w:jc w:val="both"/>
        <w:rPr>
          <w:rFonts w:ascii="Verdana" w:hAnsi="Verdana"/>
          <w:color w:val="000000"/>
          <w:sz w:val="22"/>
          <w:szCs w:val="22"/>
          <w:shd w:val="clear" w:color="auto" w:fill="FFFFFF"/>
        </w:rPr>
      </w:pPr>
      <w:r w:rsidRPr="00F93B10">
        <w:rPr>
          <w:rFonts w:ascii="Verdana" w:hAnsi="Verdana"/>
          <w:color w:val="000000"/>
          <w:sz w:val="22"/>
          <w:szCs w:val="22"/>
          <w:shd w:val="clear" w:color="auto" w:fill="FFFFFF"/>
        </w:rPr>
        <w:t>En el marco de las funciones asignadas a la Dirección Territorial Pacífico y a las áreas protegidas adscritas, y desde la línea de Estrategias Especiales de Manejo de Parques Nacionales Naturales de Colombia, se evidencia la necesidad de articular los objetivos de conservación con el reconocimiento y respeto de la diversidad cultural presente en el área de influencia del Parque Nacional Natural Farallones de Cali. En este contexto, las Estrategias Especiales de Manejo se constituyen como instrumentos fundamentales para la gestión del área protegida, orientados a la conservación de la biodiversidad y la integridad ecosistémica, mediante procesos de concertación, acuerdos, planes de manejo conjunto y regímenes especiales que reconocen la autonomía, los derechos colectivos y las prácticas tradicionales de las comunidades negras, fortaleciendo la corresponsabilidad institucional y la gobernanza intercultural.</w:t>
      </w:r>
    </w:p>
    <w:p w14:paraId="55C9C34C" w14:textId="77777777" w:rsidR="001A6419" w:rsidRPr="00F93B10" w:rsidRDefault="001A6419" w:rsidP="001A6419">
      <w:pPr>
        <w:pStyle w:val="NormalWeb"/>
        <w:jc w:val="both"/>
        <w:rPr>
          <w:rFonts w:ascii="Verdana" w:hAnsi="Verdana"/>
          <w:color w:val="000000"/>
          <w:sz w:val="22"/>
          <w:szCs w:val="22"/>
          <w:lang w:eastAsia="es-MX"/>
        </w:rPr>
      </w:pPr>
      <w:r w:rsidRPr="00F93B10">
        <w:rPr>
          <w:rFonts w:ascii="Verdana" w:hAnsi="Verdana"/>
          <w:color w:val="000000"/>
          <w:sz w:val="22"/>
          <w:szCs w:val="22"/>
        </w:rPr>
        <w:t>En cumplimiento de sus funciones misionales, el Parque Nacional Natural Farallones de Cali desarrolla acciones en diferentes líneas estratégicas, tales como el ejercicio de la autoridad ambiental a través de la estrategia de Prevención, Vigilancia y Control (PVC), la restauración ecológica, el monitoreo e investigación, la educación ambiental, el relacionamiento campesino, el ecoturismo y las estrategias especiales de manejo, las cuales contribuyen de manera integral a la conservación de la biodiversidad y la protección de los ecosistemas estratégicos. Dentro de estas, la estrategia de Prevención, Vigilancia y Control (PVC) se constituye en un eje operativo fundamental para la protección efectiva del área protegida.</w:t>
      </w:r>
    </w:p>
    <w:p w14:paraId="3856175F"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De acuerdo con el Protocolo de Prevención, Vigilancia y Control (PVC), la gestión institucional requiere el desarrollo permanente de recorridos operativos, monitoreo en campo, instalación de puestos de control, verificación de presiones y coordinación con otras autoridades, especialmente en zonas priorizadas por su nivel de afectación o riesgo.</w:t>
      </w:r>
    </w:p>
    <w:p w14:paraId="59CB6C67"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Particularmente, en el sector Pacífico del Parque, en jurisdicción del Distrito de Buenaventura, se presentan condiciones de alta complejidad territorial asociadas a la dispersión geográfica, la limitada accesibilidad terrestre y la presencia de dinámicas socioambientales que incrementan la vulnerabilidad frente a actividades ilícitas. En estos territorios, el acceso se realiza exclusivamente por vía marítima y fluvial, lo que hace indispensable el uso de embarcaciones para garantizar la ejecución de las acciones institucionales.</w:t>
      </w:r>
    </w:p>
    <w:p w14:paraId="1D131D24" w14:textId="77777777" w:rsidR="001A6419" w:rsidRPr="00F93B10" w:rsidRDefault="001A6419" w:rsidP="001A6419">
      <w:pPr>
        <w:pStyle w:val="NormalWeb"/>
        <w:jc w:val="both"/>
        <w:rPr>
          <w:rFonts w:ascii="Verdana" w:hAnsi="Verdana"/>
          <w:color w:val="000000"/>
          <w:sz w:val="22"/>
          <w:szCs w:val="22"/>
          <w:lang w:eastAsia="es-MX"/>
        </w:rPr>
      </w:pPr>
      <w:r w:rsidRPr="00F93B10">
        <w:rPr>
          <w:rFonts w:ascii="Verdana" w:hAnsi="Verdana"/>
          <w:color w:val="000000"/>
          <w:sz w:val="22"/>
          <w:szCs w:val="22"/>
        </w:rPr>
        <w:lastRenderedPageBreak/>
        <w:t xml:space="preserve">El Parque Nacional Natural Farallones de Cali cuenta con dos embarcaciones institucionales: la embarcación “El </w:t>
      </w:r>
      <w:proofErr w:type="spellStart"/>
      <w:r w:rsidRPr="00F93B10">
        <w:rPr>
          <w:rFonts w:ascii="Verdana" w:hAnsi="Verdana"/>
          <w:color w:val="000000"/>
          <w:sz w:val="22"/>
          <w:szCs w:val="22"/>
        </w:rPr>
        <w:t>Naidí</w:t>
      </w:r>
      <w:proofErr w:type="spellEnd"/>
      <w:r w:rsidRPr="00F93B10">
        <w:rPr>
          <w:rFonts w:ascii="Verdana" w:hAnsi="Verdana"/>
          <w:color w:val="000000"/>
          <w:sz w:val="22"/>
          <w:szCs w:val="22"/>
        </w:rPr>
        <w:t>”, equipada con un motor fuera de borda de 15 HP, y la embarcación “La Minga”, dotada de dos motores fuera de borda de 60 HP, las cuales son empleadas para el desplazamiento del personal en el desarrollo de actividades operativas en territorio. El funcionamiento de estas embarcaciones depende directamente del suministro de combustible, constituyéndose este insumo en un elemento esencial para garantizar la continuidad de la operación institucional.</w:t>
      </w:r>
    </w:p>
    <w:p w14:paraId="6F3EB1C0"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Adicionalmente, el área protegida debe dar cumplimiento a la Sentencia SU-196 de 2023, mediante la cual se ordena la actualización del Plan de Manejo Ambiental del Parque, proceso que se encuentra condicionado al desarrollo de consulta previa, libre e informada con las comunidades étnicas presentes en el área de influencia, conforme a la Resolución de Procedencia No. 1119 del 01 de agosto de 2025.</w:t>
      </w:r>
    </w:p>
    <w:p w14:paraId="5336150D"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En este sentido, la presencia de comunidades negras organizadas en consejos comunitarios en el área de influencia del Parque implica la necesidad de desarrollar procesos permanentes de concertación, participación comunitaria, implementación y seguimiento de acuerdos, lo cual exige el desplazamiento continuo del personal hacia estos territorios.</w:t>
      </w:r>
    </w:p>
    <w:p w14:paraId="5CD268C4"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Los consejos comunitarios constituyen aliados estratégicos para la gestión del área protegida, en tanto permiten la articulación de acciones institucionales en territorio. Estas autoridades, reconocidas en la Ley 70 de 1993, ejercen funciones de gobierno propio, vigilancia y control territorial, apoyadas en sus estructuras organizativas internas como grupos ecológicos, instituciones educativas, comités veredales y organizaciones sociales, contribuyendo al fortalecimiento de la gobernanza ambiental.</w:t>
      </w:r>
    </w:p>
    <w:p w14:paraId="0F0A0744"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 xml:space="preserve">En desarrollo de los recorridos de Prevención, Vigilancia y Control (PVC) en los territorios de los ríos </w:t>
      </w:r>
      <w:proofErr w:type="spellStart"/>
      <w:r w:rsidRPr="00F93B10">
        <w:rPr>
          <w:rFonts w:ascii="Verdana" w:hAnsi="Verdana"/>
          <w:color w:val="000000"/>
          <w:sz w:val="22"/>
          <w:szCs w:val="22"/>
        </w:rPr>
        <w:t>Yurumanguí</w:t>
      </w:r>
      <w:proofErr w:type="spellEnd"/>
      <w:r w:rsidRPr="00F93B10">
        <w:rPr>
          <w:rFonts w:ascii="Verdana" w:hAnsi="Verdana"/>
          <w:color w:val="000000"/>
          <w:sz w:val="22"/>
          <w:szCs w:val="22"/>
        </w:rPr>
        <w:t xml:space="preserve">, Naya, </w:t>
      </w:r>
      <w:proofErr w:type="spellStart"/>
      <w:r w:rsidRPr="00F93B10">
        <w:rPr>
          <w:rFonts w:ascii="Verdana" w:hAnsi="Verdana"/>
          <w:color w:val="000000"/>
          <w:sz w:val="22"/>
          <w:szCs w:val="22"/>
        </w:rPr>
        <w:t>Cajambre</w:t>
      </w:r>
      <w:proofErr w:type="spellEnd"/>
      <w:r w:rsidRPr="00F93B10">
        <w:rPr>
          <w:rFonts w:ascii="Verdana" w:hAnsi="Verdana"/>
          <w:color w:val="000000"/>
          <w:sz w:val="22"/>
          <w:szCs w:val="22"/>
        </w:rPr>
        <w:t xml:space="preserve">, </w:t>
      </w:r>
      <w:proofErr w:type="spellStart"/>
      <w:r w:rsidRPr="00F93B10">
        <w:rPr>
          <w:rFonts w:ascii="Verdana" w:hAnsi="Verdana"/>
          <w:color w:val="000000"/>
          <w:sz w:val="22"/>
          <w:szCs w:val="22"/>
        </w:rPr>
        <w:t>Mayorquín</w:t>
      </w:r>
      <w:proofErr w:type="spellEnd"/>
      <w:r w:rsidRPr="00F93B10">
        <w:rPr>
          <w:rFonts w:ascii="Verdana" w:hAnsi="Verdana"/>
          <w:color w:val="000000"/>
          <w:sz w:val="22"/>
          <w:szCs w:val="22"/>
        </w:rPr>
        <w:t xml:space="preserve"> y Raposo, se realizan actividades orientadas a la identificación de presiones sobre los recursos naturales, el monitoreo de fauna y flora, la ubicación de áreas de importancia ecológica, así como la identificación de zonas para procesos de restauración ecológica, incluyendo rescate de plántulas, recolección de semillas y establecimiento de viveros comunitarios.</w:t>
      </w:r>
    </w:p>
    <w:p w14:paraId="0EC569F0"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De igual manera, estos recorridos permiten identificar actores clave en el territorio, fortalecer procesos de gobernanza ambiental, desarrollar acciones de sensibilización y educación ambiental, así como registrar información relevante sobre especies y ecosistemas, contribuyendo a la toma de decisiones para la conservación del área protegida.</w:t>
      </w:r>
    </w:p>
    <w:p w14:paraId="467DD26F"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t>El desarrollo de estas actividades, así como de los procesos de consulta previa y cumplimiento de obligaciones judiciales, requiere garantizar la movilidad permanente del personal en territorio, siendo el transporte fluvial el único medio disponible en el sector Pacífico del Parque.</w:t>
      </w:r>
    </w:p>
    <w:p w14:paraId="63FED9A5" w14:textId="77777777" w:rsidR="001A6419" w:rsidRPr="00F93B10" w:rsidRDefault="001A6419" w:rsidP="001A6419">
      <w:pPr>
        <w:pStyle w:val="NormalWeb"/>
        <w:jc w:val="both"/>
        <w:rPr>
          <w:rFonts w:ascii="Verdana" w:hAnsi="Verdana"/>
          <w:color w:val="000000"/>
          <w:sz w:val="22"/>
          <w:szCs w:val="22"/>
        </w:rPr>
      </w:pPr>
      <w:r w:rsidRPr="00F93B10">
        <w:rPr>
          <w:rFonts w:ascii="Verdana" w:hAnsi="Verdana"/>
          <w:color w:val="000000"/>
          <w:sz w:val="22"/>
          <w:szCs w:val="22"/>
        </w:rPr>
        <w:lastRenderedPageBreak/>
        <w:t>En consecuencia, el combustible se constituye en un insumo indispensable para garantizar la operación de las embarcaciones, la ejecución de recorridos de Prevención, Vigilancia y Control (PVC), la presencia institucional, la articulación con comunidades y el cumplimiento de las funciones misionales y obligaciones legales del Parque Nacional Natural Farallones de Cali.</w:t>
      </w:r>
    </w:p>
    <w:p w14:paraId="42F0694E" w14:textId="10EE8CBA" w:rsidR="001A6419" w:rsidRPr="001A6419" w:rsidRDefault="00F93B10" w:rsidP="001A6419">
      <w:pPr>
        <w:pStyle w:val="NormalWeb"/>
        <w:jc w:val="both"/>
        <w:rPr>
          <w:rFonts w:ascii="Verdana" w:hAnsi="Verdana"/>
          <w:color w:val="000000"/>
          <w:sz w:val="22"/>
          <w:szCs w:val="22"/>
        </w:rPr>
      </w:pPr>
      <w:r w:rsidRPr="00F93B10">
        <w:rPr>
          <w:rFonts w:ascii="Verdana" w:hAnsi="Verdana"/>
          <w:color w:val="000000"/>
          <w:sz w:val="22"/>
          <w:szCs w:val="22"/>
          <w:shd w:val="clear" w:color="auto" w:fill="FFFFFF"/>
        </w:rPr>
        <w:t xml:space="preserve">En este sentido, la asignación de recursos para la adquisición de combustible resulta esencial </w:t>
      </w:r>
      <w:r w:rsidR="001A6419" w:rsidRPr="00F93B10">
        <w:rPr>
          <w:rFonts w:ascii="Verdana" w:hAnsi="Verdana"/>
          <w:color w:val="000000"/>
          <w:sz w:val="22"/>
          <w:szCs w:val="22"/>
        </w:rPr>
        <w:t>para asegurar la continuidad operativa, el cumplimiento de la Sentencia SU-196 de 2023 y la ejecución de acciones en las diferentes líneas estratégicas del área protegida, contribuyendo a la conservación de la biodiversidad y al fortalecimiento del Sistema Nacional de Áreas Protegidas – SINAP.</w:t>
      </w:r>
    </w:p>
    <w:p w14:paraId="4F7F2F24" w14:textId="77777777" w:rsidR="00097218" w:rsidRPr="001A6419" w:rsidRDefault="00097218" w:rsidP="001A6419">
      <w:pPr>
        <w:pStyle w:val="NormalWeb"/>
        <w:shd w:val="clear" w:color="auto" w:fill="FFFFFF"/>
        <w:spacing w:before="0" w:beforeAutospacing="0" w:after="0" w:afterAutospacing="0"/>
        <w:jc w:val="both"/>
        <w:rPr>
          <w:rFonts w:ascii="Verdana" w:hAnsi="Verdana"/>
          <w:color w:val="000000"/>
          <w:sz w:val="22"/>
          <w:szCs w:val="22"/>
          <w:shd w:val="clear" w:color="auto" w:fill="FFFFFF"/>
        </w:rPr>
      </w:pPr>
    </w:p>
    <w:p w14:paraId="534270D6"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2. DESCRIPCIÓN DEL OBJETO A CONTRATAR</w:t>
      </w:r>
    </w:p>
    <w:p w14:paraId="6CF9AEF6" w14:textId="1A5CBC10" w:rsidR="00097218" w:rsidRPr="001A6419" w:rsidRDefault="004E434C" w:rsidP="001A6419">
      <w:pPr>
        <w:jc w:val="both"/>
        <w:rPr>
          <w:rFonts w:ascii="Verdana" w:eastAsia="Verdana" w:hAnsi="Verdana" w:cs="Verdana"/>
          <w:b/>
          <w:color w:val="000000"/>
          <w:sz w:val="22"/>
          <w:szCs w:val="22"/>
        </w:rPr>
      </w:pPr>
      <w:r w:rsidRPr="001A6419">
        <w:rPr>
          <w:rFonts w:ascii="Verdana" w:eastAsia="Verdana" w:hAnsi="Verdana" w:cs="Verdana"/>
          <w:b/>
          <w:sz w:val="22"/>
          <w:szCs w:val="22"/>
          <w:highlight w:val="white"/>
        </w:rPr>
        <w:t xml:space="preserve">2.1. OBJETO DEL CONTRATO: </w:t>
      </w:r>
      <w:r w:rsidR="00097218" w:rsidRPr="001A6419">
        <w:rPr>
          <w:rFonts w:ascii="Verdana" w:eastAsia="Verdana" w:hAnsi="Verdana" w:cs="Verdana"/>
          <w:sz w:val="22"/>
          <w:szCs w:val="22"/>
        </w:rPr>
        <w:t>DP04-3202032-1-182Adhesión al Acuerdo Marco de Precios para el suministro de combustible requerido para el desarrollo de acciones en las diferentes líneas estratégicas del parque y el cumplimiento de sentencias judiciales en el PNN Farallones de Cali, con énfasis en los ecosistemas andinos y de páramo, en el marco de la conservación de la diversidad biológica de las Áreas Protegidas del SINAP Nacional</w:t>
      </w:r>
      <w:r w:rsidRPr="001A6419">
        <w:rPr>
          <w:rFonts w:ascii="Verdana" w:eastAsia="Verdana" w:hAnsi="Verdana" w:cs="Verdana"/>
          <w:b/>
          <w:color w:val="000000"/>
          <w:sz w:val="22"/>
          <w:szCs w:val="22"/>
        </w:rPr>
        <w:t>.</w:t>
      </w:r>
    </w:p>
    <w:p w14:paraId="23F674DC" w14:textId="2FD72D82"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color w:val="000000"/>
          <w:sz w:val="22"/>
          <w:szCs w:val="22"/>
        </w:rPr>
        <w:t xml:space="preserve"> ESPECIFICACIONES TÉCNICAS DE LOS BIENES O SERVICIO</w:t>
      </w:r>
    </w:p>
    <w:p w14:paraId="40EDE0DB"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3.1. CLASIFICACIÓN UNSPSC</w:t>
      </w:r>
    </w:p>
    <w:p w14:paraId="00D80F99"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El objeto contractual se enmarca dentro del siguiente código del Clasificador de Bienes y Servicios:</w:t>
      </w:r>
    </w:p>
    <w:tbl>
      <w:tblPr>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83"/>
        <w:gridCol w:w="1754"/>
        <w:gridCol w:w="1713"/>
        <w:gridCol w:w="1370"/>
        <w:gridCol w:w="1608"/>
      </w:tblGrid>
      <w:tr w:rsidR="004E434C" w:rsidRPr="001A6419" w14:paraId="69EB9D48" w14:textId="77777777" w:rsidTr="004B4A6D">
        <w:trPr>
          <w:trHeight w:val="113"/>
          <w:jc w:val="center"/>
        </w:trPr>
        <w:tc>
          <w:tcPr>
            <w:tcW w:w="2383" w:type="dxa"/>
            <w:shd w:val="clear" w:color="auto" w:fill="BFBFBF"/>
            <w:vAlign w:val="center"/>
          </w:tcPr>
          <w:p w14:paraId="7BDB127B"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CLASIFICACIÓN UNSPSC</w:t>
            </w:r>
          </w:p>
        </w:tc>
        <w:tc>
          <w:tcPr>
            <w:tcW w:w="1754" w:type="dxa"/>
            <w:shd w:val="clear" w:color="auto" w:fill="BFBFBF"/>
            <w:vAlign w:val="center"/>
          </w:tcPr>
          <w:p w14:paraId="1E60F7D7"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SEGMENTO</w:t>
            </w:r>
          </w:p>
        </w:tc>
        <w:tc>
          <w:tcPr>
            <w:tcW w:w="1713" w:type="dxa"/>
            <w:shd w:val="clear" w:color="auto" w:fill="BFBFBF"/>
            <w:vAlign w:val="center"/>
          </w:tcPr>
          <w:p w14:paraId="0910BB91"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FAMILIA</w:t>
            </w:r>
          </w:p>
        </w:tc>
        <w:tc>
          <w:tcPr>
            <w:tcW w:w="1370" w:type="dxa"/>
            <w:shd w:val="clear" w:color="auto" w:fill="BFBFBF"/>
            <w:vAlign w:val="center"/>
          </w:tcPr>
          <w:p w14:paraId="61F84F96"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CLASE</w:t>
            </w:r>
          </w:p>
        </w:tc>
        <w:tc>
          <w:tcPr>
            <w:tcW w:w="1608" w:type="dxa"/>
            <w:shd w:val="clear" w:color="auto" w:fill="BFBFBF"/>
            <w:vAlign w:val="center"/>
          </w:tcPr>
          <w:p w14:paraId="0E122A40" w14:textId="77777777" w:rsidR="004E434C" w:rsidRPr="001A6419" w:rsidRDefault="004E434C" w:rsidP="001A6419">
            <w:pPr>
              <w:jc w:val="both"/>
              <w:rPr>
                <w:rFonts w:ascii="Verdana" w:eastAsia="Verdana" w:hAnsi="Verdana" w:cs="Verdana"/>
                <w:b/>
                <w:sz w:val="22"/>
                <w:szCs w:val="22"/>
              </w:rPr>
            </w:pPr>
            <w:r w:rsidRPr="001A6419">
              <w:rPr>
                <w:rFonts w:ascii="Verdana" w:eastAsia="Verdana" w:hAnsi="Verdana" w:cs="Verdana"/>
                <w:b/>
                <w:sz w:val="22"/>
                <w:szCs w:val="22"/>
              </w:rPr>
              <w:t>PRODUCTO</w:t>
            </w:r>
          </w:p>
        </w:tc>
      </w:tr>
      <w:tr w:rsidR="004E434C" w:rsidRPr="001A6419" w14:paraId="7BB6C89E" w14:textId="77777777" w:rsidTr="004B4A6D">
        <w:trPr>
          <w:trHeight w:val="113"/>
          <w:jc w:val="center"/>
        </w:trPr>
        <w:tc>
          <w:tcPr>
            <w:tcW w:w="2383" w:type="dxa"/>
            <w:vAlign w:val="center"/>
          </w:tcPr>
          <w:p w14:paraId="0EFDD0AA"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15101506</w:t>
            </w:r>
          </w:p>
        </w:tc>
        <w:tc>
          <w:tcPr>
            <w:tcW w:w="1754" w:type="dxa"/>
            <w:vAlign w:val="center"/>
          </w:tcPr>
          <w:p w14:paraId="3A3AC6C0"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Materiales combustibles, aditivos para combustible, lubricantes y anticorrosivo</w:t>
            </w:r>
          </w:p>
        </w:tc>
        <w:tc>
          <w:tcPr>
            <w:tcW w:w="1713" w:type="dxa"/>
            <w:vAlign w:val="center"/>
          </w:tcPr>
          <w:p w14:paraId="7BE7880A"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Combustibles</w:t>
            </w:r>
          </w:p>
        </w:tc>
        <w:tc>
          <w:tcPr>
            <w:tcW w:w="1370" w:type="dxa"/>
            <w:vAlign w:val="center"/>
          </w:tcPr>
          <w:p w14:paraId="7C5AF518"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Petróleo y Destilados</w:t>
            </w:r>
          </w:p>
        </w:tc>
        <w:tc>
          <w:tcPr>
            <w:tcW w:w="1608" w:type="dxa"/>
            <w:vAlign w:val="center"/>
          </w:tcPr>
          <w:p w14:paraId="48799786"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Gasolina</w:t>
            </w:r>
          </w:p>
        </w:tc>
      </w:tr>
    </w:tbl>
    <w:p w14:paraId="2E3B468B" w14:textId="77777777" w:rsidR="004E434C" w:rsidRPr="001A6419" w:rsidRDefault="004E434C" w:rsidP="001A6419">
      <w:pPr>
        <w:pBdr>
          <w:top w:val="nil"/>
          <w:left w:val="nil"/>
          <w:bottom w:val="nil"/>
          <w:right w:val="nil"/>
          <w:between w:val="nil"/>
        </w:pBdr>
        <w:jc w:val="both"/>
        <w:rPr>
          <w:rFonts w:ascii="Verdana" w:eastAsia="Verdana" w:hAnsi="Verdana" w:cs="Verdana"/>
          <w:b/>
          <w:sz w:val="22"/>
          <w:szCs w:val="22"/>
        </w:rPr>
      </w:pPr>
    </w:p>
    <w:p w14:paraId="330E00C3" w14:textId="77777777" w:rsidR="004E434C" w:rsidRPr="001A6419" w:rsidRDefault="004E434C" w:rsidP="001A6419">
      <w:pPr>
        <w:pBdr>
          <w:top w:val="nil"/>
          <w:left w:val="nil"/>
          <w:bottom w:val="nil"/>
          <w:right w:val="nil"/>
          <w:between w:val="nil"/>
        </w:pBdr>
        <w:jc w:val="both"/>
        <w:rPr>
          <w:rFonts w:ascii="Verdana" w:eastAsia="Verdana" w:hAnsi="Verdana" w:cs="Verdana"/>
          <w:b/>
          <w:color w:val="000000"/>
          <w:sz w:val="22"/>
          <w:szCs w:val="22"/>
        </w:rPr>
      </w:pPr>
      <w:r w:rsidRPr="001A6419">
        <w:rPr>
          <w:rFonts w:ascii="Verdana" w:eastAsia="Verdana" w:hAnsi="Verdana" w:cs="Verdana"/>
          <w:b/>
          <w:color w:val="000000"/>
          <w:sz w:val="22"/>
          <w:szCs w:val="22"/>
        </w:rPr>
        <w:t xml:space="preserve">3.2. DESCRIPCIÓN </w:t>
      </w:r>
      <w:r w:rsidRPr="001A6419">
        <w:rPr>
          <w:rFonts w:ascii="Verdana" w:eastAsia="Verdana" w:hAnsi="Verdana" w:cs="Verdana"/>
          <w:b/>
          <w:sz w:val="22"/>
          <w:szCs w:val="22"/>
        </w:rPr>
        <w:t>TÉCNICA</w:t>
      </w:r>
      <w:r w:rsidRPr="001A6419">
        <w:rPr>
          <w:rFonts w:ascii="Verdana" w:eastAsia="Verdana" w:hAnsi="Verdana" w:cs="Verdana"/>
          <w:b/>
          <w:color w:val="000000"/>
          <w:sz w:val="22"/>
          <w:szCs w:val="22"/>
        </w:rPr>
        <w:t xml:space="preserve"> DE LOS BIENES O SERVICIOS</w:t>
      </w:r>
    </w:p>
    <w:p w14:paraId="3B401082" w14:textId="77777777" w:rsidR="004E434C" w:rsidRPr="001A6419" w:rsidRDefault="004E434C" w:rsidP="001A6419">
      <w:pPr>
        <w:pBdr>
          <w:top w:val="nil"/>
          <w:left w:val="nil"/>
          <w:bottom w:val="nil"/>
          <w:right w:val="nil"/>
          <w:between w:val="nil"/>
        </w:pBdr>
        <w:jc w:val="both"/>
        <w:rPr>
          <w:rFonts w:ascii="Verdana" w:eastAsia="Verdana" w:hAnsi="Verdana" w:cs="Verdana"/>
          <w:color w:val="000000"/>
          <w:sz w:val="22"/>
          <w:szCs w:val="22"/>
        </w:rPr>
      </w:pPr>
      <w:r w:rsidRPr="001A6419">
        <w:rPr>
          <w:rFonts w:ascii="Verdana" w:eastAsia="Verdana" w:hAnsi="Verdana" w:cs="Verdana"/>
          <w:color w:val="000000"/>
          <w:sz w:val="22"/>
          <w:szCs w:val="22"/>
        </w:rPr>
        <w:t xml:space="preserve">Según la Cláusula 4: Especificaciones Técnicas del Combustible del </w:t>
      </w:r>
      <w:r w:rsidRPr="001A6419">
        <w:rPr>
          <w:rFonts w:ascii="Verdana" w:eastAsia="Verdana" w:hAnsi="Verdana" w:cs="Verdana"/>
          <w:sz w:val="22"/>
          <w:szCs w:val="22"/>
        </w:rPr>
        <w:t xml:space="preserve">acuerdo marco de precios CCE-326-AMP-2022: </w:t>
      </w:r>
      <w:r w:rsidRPr="001A6419">
        <w:rPr>
          <w:rFonts w:ascii="Verdana" w:eastAsia="Verdana" w:hAnsi="Verdana" w:cs="Verdana"/>
          <w:color w:val="000000"/>
          <w:sz w:val="22"/>
          <w:szCs w:val="22"/>
        </w:rPr>
        <w:t>Los Proveedores de combustible deben de cumplir con las especificaciones técnicas y de calidad definidas en el Decreto 1073 de 2015 expedido</w:t>
      </w:r>
      <w:r w:rsidRPr="001A6419">
        <w:rPr>
          <w:rFonts w:ascii="Verdana" w:eastAsia="Verdana" w:hAnsi="Verdana" w:cs="Verdana"/>
          <w:sz w:val="22"/>
          <w:szCs w:val="22"/>
        </w:rPr>
        <w:t xml:space="preserve"> </w:t>
      </w:r>
      <w:r w:rsidRPr="001A6419">
        <w:rPr>
          <w:rFonts w:ascii="Verdana" w:eastAsia="Verdana" w:hAnsi="Verdana" w:cs="Verdana"/>
          <w:color w:val="000000"/>
          <w:sz w:val="22"/>
          <w:szCs w:val="22"/>
        </w:rPr>
        <w:t>por el Ministerio de Minas y Energía. Adicionalmente, el combustible suministrado debe cumplir con las siguientes normas técnicas relacionadas en la siguiente tabla:</w:t>
      </w:r>
    </w:p>
    <w:p w14:paraId="23C612A3" w14:textId="77777777" w:rsidR="004E434C" w:rsidRPr="001A6419" w:rsidRDefault="004E434C" w:rsidP="001A6419">
      <w:pPr>
        <w:pBdr>
          <w:top w:val="nil"/>
          <w:left w:val="nil"/>
          <w:bottom w:val="nil"/>
          <w:right w:val="nil"/>
          <w:between w:val="nil"/>
        </w:pBdr>
        <w:jc w:val="both"/>
        <w:rPr>
          <w:rFonts w:ascii="Verdana" w:eastAsia="Verdana" w:hAnsi="Verdana" w:cs="Verdana"/>
          <w:color w:val="000000"/>
          <w:sz w:val="22"/>
          <w:szCs w:val="22"/>
        </w:rPr>
      </w:pPr>
      <w:r w:rsidRPr="001A6419">
        <w:rPr>
          <w:rFonts w:ascii="Verdana" w:eastAsia="Verdana" w:hAnsi="Verdana" w:cs="Verdana"/>
          <w:noProof/>
          <w:color w:val="000000"/>
          <w:sz w:val="22"/>
          <w:szCs w:val="22"/>
        </w:rPr>
        <w:drawing>
          <wp:inline distT="0" distB="0" distL="0" distR="0" wp14:anchorId="4391AF00" wp14:editId="46F37229">
            <wp:extent cx="5127800" cy="975317"/>
            <wp:effectExtent l="0" t="0" r="0" b="0"/>
            <wp:docPr id="2009841963"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5"/>
                    <a:srcRect/>
                    <a:stretch>
                      <a:fillRect/>
                    </a:stretch>
                  </pic:blipFill>
                  <pic:spPr>
                    <a:xfrm>
                      <a:off x="0" y="0"/>
                      <a:ext cx="5127800" cy="975317"/>
                    </a:xfrm>
                    <a:prstGeom prst="rect">
                      <a:avLst/>
                    </a:prstGeom>
                    <a:ln/>
                  </pic:spPr>
                </pic:pic>
              </a:graphicData>
            </a:graphic>
          </wp:inline>
        </w:drawing>
      </w:r>
    </w:p>
    <w:p w14:paraId="00C5AEAA" w14:textId="77777777" w:rsidR="004E434C" w:rsidRPr="001A6419" w:rsidRDefault="004E434C" w:rsidP="001A6419">
      <w:pPr>
        <w:pBdr>
          <w:top w:val="nil"/>
          <w:left w:val="nil"/>
          <w:bottom w:val="nil"/>
          <w:right w:val="nil"/>
          <w:between w:val="nil"/>
        </w:pBdr>
        <w:jc w:val="both"/>
        <w:rPr>
          <w:rFonts w:ascii="Verdana" w:eastAsia="Verdana" w:hAnsi="Verdana" w:cs="Verdana"/>
          <w:color w:val="000000"/>
          <w:sz w:val="22"/>
          <w:szCs w:val="22"/>
        </w:rPr>
      </w:pPr>
      <w:r w:rsidRPr="001A6419">
        <w:rPr>
          <w:rFonts w:ascii="Verdana" w:eastAsia="Verdana" w:hAnsi="Verdana" w:cs="Verdana"/>
          <w:color w:val="000000"/>
          <w:sz w:val="22"/>
          <w:szCs w:val="22"/>
        </w:rPr>
        <w:lastRenderedPageBreak/>
        <w:t>El combustible tipo Gasolina Corriente, Gasolina Extra y Diésel (ACPM) deben contener la mezcla de alcohol carburante, etanol en la mezcla con gasolina corriente y extra a nivel nacional, y el contenido de biocombustible máximo en la mezcla con combustible diésel fósil, según las disposiciones del Ministerio de Minas y Energía y Ministerio de Agricultura y Desarrollo Rural y Ministerio de Ambiente y Desarrollo Sostenible, o la Entidad que haga sus veces.</w:t>
      </w:r>
    </w:p>
    <w:p w14:paraId="3ACA731E" w14:textId="77777777" w:rsidR="004E434C" w:rsidRPr="001A6419" w:rsidRDefault="004E434C" w:rsidP="001A6419">
      <w:pPr>
        <w:pBdr>
          <w:top w:val="nil"/>
          <w:left w:val="nil"/>
          <w:bottom w:val="nil"/>
          <w:right w:val="nil"/>
          <w:between w:val="nil"/>
        </w:pBdr>
        <w:jc w:val="both"/>
        <w:rPr>
          <w:rFonts w:ascii="Verdana" w:eastAsia="Verdana" w:hAnsi="Verdana" w:cs="Verdana"/>
          <w:color w:val="000000"/>
          <w:sz w:val="22"/>
          <w:szCs w:val="22"/>
        </w:rPr>
      </w:pPr>
      <w:r w:rsidRPr="001A6419">
        <w:rPr>
          <w:rFonts w:ascii="Verdana" w:eastAsia="Verdana" w:hAnsi="Verdana" w:cs="Verdana"/>
          <w:color w:val="000000"/>
          <w:sz w:val="22"/>
          <w:szCs w:val="22"/>
        </w:rPr>
        <w:t xml:space="preserve">Las embarcaciones, motores y elementos que requieren combustible en cualquiera de sus tipos serán: </w:t>
      </w:r>
    </w:p>
    <w:p w14:paraId="03AF2B0F" w14:textId="77777777" w:rsidR="004E434C" w:rsidRPr="001A6419" w:rsidRDefault="004E434C" w:rsidP="001A6419">
      <w:pPr>
        <w:pBdr>
          <w:top w:val="nil"/>
          <w:left w:val="nil"/>
          <w:bottom w:val="nil"/>
          <w:right w:val="nil"/>
          <w:between w:val="nil"/>
        </w:pBdr>
        <w:jc w:val="both"/>
        <w:rPr>
          <w:rFonts w:ascii="Verdana" w:eastAsia="Verdana" w:hAnsi="Verdana" w:cs="Verdana"/>
          <w:b/>
          <w:color w:val="000000"/>
          <w:sz w:val="22"/>
          <w:szCs w:val="22"/>
          <w:highlight w:val="white"/>
        </w:rPr>
      </w:pPr>
      <w:r w:rsidRPr="001A6419">
        <w:rPr>
          <w:rFonts w:ascii="Verdana" w:eastAsia="Verdana" w:hAnsi="Verdana" w:cs="Verdana"/>
          <w:b/>
          <w:sz w:val="22"/>
          <w:szCs w:val="22"/>
          <w:highlight w:val="white"/>
        </w:rPr>
        <w:t>PARQUE NACIONAL NATURAL FARALLONES DE CALI:</w:t>
      </w:r>
    </w:p>
    <w:tbl>
      <w:tblPr>
        <w:tblW w:w="83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5"/>
        <w:gridCol w:w="2503"/>
        <w:gridCol w:w="5199"/>
      </w:tblGrid>
      <w:tr w:rsidR="004E434C" w:rsidRPr="001A6419" w14:paraId="07B01AB1" w14:textId="77777777" w:rsidTr="004B4A6D">
        <w:trPr>
          <w:trHeight w:val="255"/>
        </w:trPr>
        <w:tc>
          <w:tcPr>
            <w:tcW w:w="655" w:type="dxa"/>
            <w:shd w:val="clear" w:color="auto" w:fill="D9D9D9"/>
            <w:vAlign w:val="center"/>
          </w:tcPr>
          <w:p w14:paraId="72137F44" w14:textId="77777777" w:rsidR="004E434C" w:rsidRPr="001A6419" w:rsidRDefault="004E434C" w:rsidP="001A6419">
            <w:pPr>
              <w:jc w:val="both"/>
              <w:rPr>
                <w:rFonts w:ascii="Verdana" w:eastAsia="Verdana" w:hAnsi="Verdana" w:cs="Verdana"/>
                <w:b/>
                <w:color w:val="000000"/>
                <w:sz w:val="22"/>
                <w:szCs w:val="22"/>
                <w:highlight w:val="white"/>
              </w:rPr>
            </w:pPr>
            <w:bookmarkStart w:id="0" w:name="_heading=h.30j0zll" w:colFirst="0" w:colLast="0"/>
            <w:bookmarkEnd w:id="0"/>
            <w:r w:rsidRPr="001A6419">
              <w:rPr>
                <w:rFonts w:ascii="Verdana" w:eastAsia="Verdana" w:hAnsi="Verdana" w:cs="Verdana"/>
                <w:b/>
                <w:color w:val="000000"/>
                <w:sz w:val="22"/>
                <w:szCs w:val="22"/>
                <w:highlight w:val="white"/>
              </w:rPr>
              <w:t>ITEM</w:t>
            </w:r>
          </w:p>
        </w:tc>
        <w:tc>
          <w:tcPr>
            <w:tcW w:w="2503" w:type="dxa"/>
            <w:shd w:val="clear" w:color="auto" w:fill="D9D9D9"/>
            <w:vAlign w:val="center"/>
          </w:tcPr>
          <w:p w14:paraId="710642F8" w14:textId="77777777" w:rsidR="004E434C" w:rsidRPr="001A6419" w:rsidRDefault="004E434C" w:rsidP="001A6419">
            <w:pPr>
              <w:jc w:val="both"/>
              <w:rPr>
                <w:rFonts w:ascii="Verdana" w:eastAsia="Verdana" w:hAnsi="Verdana" w:cs="Verdana"/>
                <w:b/>
                <w:color w:val="000000"/>
                <w:sz w:val="22"/>
                <w:szCs w:val="22"/>
                <w:highlight w:val="white"/>
              </w:rPr>
            </w:pPr>
            <w:r w:rsidRPr="001A6419">
              <w:rPr>
                <w:rFonts w:ascii="Verdana" w:eastAsia="Verdana" w:hAnsi="Verdana" w:cs="Verdana"/>
                <w:b/>
                <w:color w:val="000000"/>
                <w:sz w:val="22"/>
                <w:szCs w:val="22"/>
                <w:highlight w:val="white"/>
              </w:rPr>
              <w:t xml:space="preserve">NOMBRE </w:t>
            </w:r>
          </w:p>
        </w:tc>
        <w:tc>
          <w:tcPr>
            <w:tcW w:w="5199" w:type="dxa"/>
            <w:shd w:val="clear" w:color="auto" w:fill="D9D9D9"/>
            <w:vAlign w:val="center"/>
          </w:tcPr>
          <w:p w14:paraId="18441A42" w14:textId="77777777" w:rsidR="004E434C" w:rsidRPr="001A6419" w:rsidRDefault="004E434C" w:rsidP="001A6419">
            <w:pPr>
              <w:jc w:val="both"/>
              <w:rPr>
                <w:rFonts w:ascii="Verdana" w:eastAsia="Verdana" w:hAnsi="Verdana" w:cs="Verdana"/>
                <w:b/>
                <w:color w:val="000000"/>
                <w:sz w:val="22"/>
                <w:szCs w:val="22"/>
                <w:highlight w:val="white"/>
              </w:rPr>
            </w:pPr>
            <w:r w:rsidRPr="001A6419">
              <w:rPr>
                <w:rFonts w:ascii="Verdana" w:eastAsia="Verdana" w:hAnsi="Verdana" w:cs="Verdana"/>
                <w:b/>
                <w:color w:val="000000"/>
                <w:sz w:val="22"/>
                <w:szCs w:val="22"/>
                <w:highlight w:val="white"/>
              </w:rPr>
              <w:t xml:space="preserve">DESCRIPCIÓN </w:t>
            </w:r>
          </w:p>
        </w:tc>
      </w:tr>
      <w:tr w:rsidR="004E434C" w:rsidRPr="001A6419" w14:paraId="77DB3144" w14:textId="77777777" w:rsidTr="004B4A6D">
        <w:trPr>
          <w:trHeight w:val="255"/>
        </w:trPr>
        <w:tc>
          <w:tcPr>
            <w:tcW w:w="655" w:type="dxa"/>
            <w:vAlign w:val="center"/>
          </w:tcPr>
          <w:p w14:paraId="09FC9B12" w14:textId="77777777" w:rsidR="004E434C" w:rsidRPr="001A6419" w:rsidRDefault="004E434C" w:rsidP="001A6419">
            <w:pPr>
              <w:jc w:val="both"/>
              <w:rPr>
                <w:rFonts w:ascii="Verdana" w:eastAsia="Verdana" w:hAnsi="Verdana" w:cs="Verdana"/>
                <w:color w:val="000000"/>
                <w:sz w:val="22"/>
                <w:szCs w:val="22"/>
                <w:highlight w:val="white"/>
              </w:rPr>
            </w:pPr>
            <w:r w:rsidRPr="001A6419">
              <w:rPr>
                <w:rFonts w:ascii="Verdana" w:eastAsia="Verdana" w:hAnsi="Verdana" w:cs="Verdana"/>
                <w:color w:val="000000"/>
                <w:sz w:val="22"/>
                <w:szCs w:val="22"/>
                <w:highlight w:val="white"/>
              </w:rPr>
              <w:t>1</w:t>
            </w:r>
          </w:p>
        </w:tc>
        <w:tc>
          <w:tcPr>
            <w:tcW w:w="2503" w:type="dxa"/>
            <w:vAlign w:val="center"/>
          </w:tcPr>
          <w:p w14:paraId="3AD5BFCE" w14:textId="77777777" w:rsidR="004E434C" w:rsidRPr="001A6419" w:rsidRDefault="004E434C" w:rsidP="001A6419">
            <w:pPr>
              <w:jc w:val="both"/>
              <w:rPr>
                <w:rFonts w:ascii="Verdana" w:eastAsia="Verdana" w:hAnsi="Verdana" w:cs="Verdana"/>
                <w:color w:val="000000"/>
                <w:sz w:val="22"/>
                <w:szCs w:val="22"/>
                <w:highlight w:val="white"/>
              </w:rPr>
            </w:pPr>
            <w:r w:rsidRPr="001A6419">
              <w:rPr>
                <w:rFonts w:ascii="Verdana" w:eastAsia="Verdana" w:hAnsi="Verdana" w:cs="Verdana"/>
                <w:color w:val="000000"/>
                <w:sz w:val="22"/>
                <w:szCs w:val="22"/>
                <w:highlight w:val="white"/>
              </w:rPr>
              <w:t>MOTOR FUERA DE BORDA</w:t>
            </w:r>
          </w:p>
        </w:tc>
        <w:tc>
          <w:tcPr>
            <w:tcW w:w="5199" w:type="dxa"/>
            <w:vAlign w:val="center"/>
          </w:tcPr>
          <w:p w14:paraId="352C1981" w14:textId="77777777" w:rsidR="004E434C" w:rsidRPr="001A6419" w:rsidRDefault="004E434C" w:rsidP="001A6419">
            <w:pPr>
              <w:jc w:val="both"/>
              <w:rPr>
                <w:rFonts w:ascii="Verdana" w:eastAsia="Verdana" w:hAnsi="Verdana" w:cs="Verdana"/>
                <w:color w:val="000000"/>
                <w:sz w:val="22"/>
                <w:szCs w:val="22"/>
                <w:highlight w:val="white"/>
              </w:rPr>
            </w:pPr>
            <w:r w:rsidRPr="001A6419">
              <w:rPr>
                <w:rFonts w:ascii="Verdana" w:eastAsia="Verdana" w:hAnsi="Verdana" w:cs="Verdana"/>
                <w:color w:val="000000"/>
                <w:sz w:val="22"/>
                <w:szCs w:val="22"/>
                <w:highlight w:val="white"/>
              </w:rPr>
              <w:t>MOTOR FUERA DE BORDA, 15HP “MOTANAVE NAIDI”.</w:t>
            </w:r>
          </w:p>
        </w:tc>
      </w:tr>
      <w:tr w:rsidR="004E434C" w:rsidRPr="001A6419" w14:paraId="04850BE2" w14:textId="77777777" w:rsidTr="004B4A6D">
        <w:trPr>
          <w:trHeight w:val="255"/>
        </w:trPr>
        <w:tc>
          <w:tcPr>
            <w:tcW w:w="655" w:type="dxa"/>
            <w:vAlign w:val="center"/>
          </w:tcPr>
          <w:p w14:paraId="2EFE01E1" w14:textId="77777777" w:rsidR="004E434C" w:rsidRPr="001A6419" w:rsidRDefault="004E434C" w:rsidP="001A6419">
            <w:pPr>
              <w:jc w:val="both"/>
              <w:rPr>
                <w:rFonts w:ascii="Verdana" w:eastAsia="Verdana" w:hAnsi="Verdana" w:cs="Verdana"/>
                <w:color w:val="000000"/>
                <w:sz w:val="22"/>
                <w:szCs w:val="22"/>
                <w:highlight w:val="white"/>
              </w:rPr>
            </w:pPr>
            <w:r w:rsidRPr="001A6419">
              <w:rPr>
                <w:rFonts w:ascii="Verdana" w:eastAsia="Verdana" w:hAnsi="Verdana" w:cs="Verdana"/>
                <w:color w:val="000000"/>
                <w:sz w:val="22"/>
                <w:szCs w:val="22"/>
                <w:highlight w:val="white"/>
              </w:rPr>
              <w:t>2</w:t>
            </w:r>
          </w:p>
        </w:tc>
        <w:tc>
          <w:tcPr>
            <w:tcW w:w="2503" w:type="dxa"/>
            <w:vAlign w:val="center"/>
          </w:tcPr>
          <w:p w14:paraId="619AD819" w14:textId="77777777" w:rsidR="004E434C" w:rsidRPr="001A6419" w:rsidRDefault="004E434C" w:rsidP="001A6419">
            <w:pPr>
              <w:jc w:val="both"/>
              <w:rPr>
                <w:rFonts w:ascii="Verdana" w:eastAsia="Verdana" w:hAnsi="Verdana" w:cs="Verdana"/>
                <w:color w:val="000000"/>
                <w:sz w:val="22"/>
                <w:szCs w:val="22"/>
                <w:highlight w:val="white"/>
              </w:rPr>
            </w:pPr>
            <w:r w:rsidRPr="001A6419">
              <w:rPr>
                <w:rFonts w:ascii="Verdana" w:eastAsia="Verdana" w:hAnsi="Verdana" w:cs="Verdana"/>
                <w:color w:val="000000"/>
                <w:sz w:val="22"/>
                <w:szCs w:val="22"/>
                <w:highlight w:val="white"/>
              </w:rPr>
              <w:t>MOTOR FUERA DE BORDA</w:t>
            </w:r>
          </w:p>
        </w:tc>
        <w:tc>
          <w:tcPr>
            <w:tcW w:w="5199" w:type="dxa"/>
            <w:vAlign w:val="center"/>
          </w:tcPr>
          <w:p w14:paraId="0C611C3D" w14:textId="77777777" w:rsidR="004E434C" w:rsidRPr="001A6419" w:rsidRDefault="004E434C" w:rsidP="001A6419">
            <w:pPr>
              <w:jc w:val="both"/>
              <w:rPr>
                <w:rFonts w:ascii="Verdana" w:eastAsia="Verdana" w:hAnsi="Verdana" w:cs="Verdana"/>
                <w:color w:val="000000"/>
                <w:sz w:val="22"/>
                <w:szCs w:val="22"/>
                <w:highlight w:val="white"/>
              </w:rPr>
            </w:pPr>
            <w:r w:rsidRPr="001A6419">
              <w:rPr>
                <w:rFonts w:ascii="Verdana" w:eastAsia="Verdana" w:hAnsi="Verdana" w:cs="Verdana"/>
                <w:color w:val="000000"/>
                <w:sz w:val="22"/>
                <w:szCs w:val="22"/>
                <w:highlight w:val="white"/>
              </w:rPr>
              <w:t>MOTOR FUERA DE BORDA. 2 60 “MOTONAVE LA MINGA</w:t>
            </w:r>
          </w:p>
        </w:tc>
      </w:tr>
    </w:tbl>
    <w:p w14:paraId="7F2587A8" w14:textId="14F53BE8" w:rsidR="004E434C" w:rsidRPr="001A6419" w:rsidRDefault="004E434C" w:rsidP="001A6419">
      <w:pPr>
        <w:pBdr>
          <w:top w:val="nil"/>
          <w:left w:val="nil"/>
          <w:bottom w:val="nil"/>
          <w:right w:val="nil"/>
          <w:between w:val="nil"/>
        </w:pBdr>
        <w:jc w:val="both"/>
        <w:rPr>
          <w:rFonts w:ascii="Verdana" w:eastAsia="Verdana" w:hAnsi="Verdana" w:cs="Verdana"/>
          <w:b/>
          <w:sz w:val="22"/>
          <w:szCs w:val="22"/>
          <w:highlight w:val="white"/>
        </w:rPr>
      </w:pPr>
    </w:p>
    <w:tbl>
      <w:tblPr>
        <w:tblW w:w="7789" w:type="dxa"/>
        <w:tblCellSpacing w:w="0" w:type="dxa"/>
        <w:tblCellMar>
          <w:left w:w="0" w:type="dxa"/>
          <w:right w:w="0" w:type="dxa"/>
        </w:tblCellMar>
        <w:tblLook w:val="04A0" w:firstRow="1" w:lastRow="0" w:firstColumn="1" w:lastColumn="0" w:noHBand="0" w:noVBand="1"/>
      </w:tblPr>
      <w:tblGrid>
        <w:gridCol w:w="2686"/>
        <w:gridCol w:w="2693"/>
        <w:gridCol w:w="2410"/>
      </w:tblGrid>
      <w:tr w:rsidR="00EB4AFD" w:rsidRPr="001A6419" w14:paraId="6BC1383A" w14:textId="77777777" w:rsidTr="00EB4AFD">
        <w:trPr>
          <w:trHeight w:val="1320"/>
          <w:tblCellSpacing w:w="0" w:type="dxa"/>
        </w:trPr>
        <w:tc>
          <w:tcPr>
            <w:tcW w:w="2686" w:type="dxa"/>
            <w:tcBorders>
              <w:top w:val="single" w:sz="6" w:space="0" w:color="BFBFBF"/>
              <w:left w:val="single" w:sz="6" w:space="0" w:color="BFBFBF"/>
              <w:bottom w:val="single" w:sz="6" w:space="0" w:color="000000"/>
              <w:right w:val="single" w:sz="6" w:space="0" w:color="BFBFBF"/>
            </w:tcBorders>
            <w:shd w:val="clear" w:color="auto" w:fill="0070C0"/>
            <w:tcMar>
              <w:top w:w="0" w:type="dxa"/>
              <w:left w:w="45" w:type="dxa"/>
              <w:bottom w:w="0" w:type="dxa"/>
              <w:right w:w="45" w:type="dxa"/>
            </w:tcMar>
            <w:vAlign w:val="center"/>
            <w:hideMark/>
          </w:tcPr>
          <w:p w14:paraId="2546C63E" w14:textId="77777777" w:rsidR="004E434C" w:rsidRPr="001A6419" w:rsidRDefault="004E434C" w:rsidP="001A6419">
            <w:pPr>
              <w:jc w:val="both"/>
              <w:rPr>
                <w:rFonts w:ascii="Verdana" w:hAnsi="Verdana"/>
                <w:b/>
                <w:bCs/>
                <w:color w:val="FFFFFF"/>
                <w:sz w:val="22"/>
                <w:szCs w:val="22"/>
              </w:rPr>
            </w:pPr>
            <w:r w:rsidRPr="001A6419">
              <w:rPr>
                <w:rFonts w:ascii="Verdana" w:hAnsi="Verdana"/>
                <w:b/>
                <w:bCs/>
                <w:color w:val="FFFFFF"/>
                <w:sz w:val="22"/>
                <w:szCs w:val="22"/>
              </w:rPr>
              <w:t>Placa</w:t>
            </w:r>
          </w:p>
        </w:tc>
        <w:tc>
          <w:tcPr>
            <w:tcW w:w="2693" w:type="dxa"/>
            <w:tcBorders>
              <w:top w:val="single" w:sz="6" w:space="0" w:color="BFBFBF"/>
              <w:bottom w:val="single" w:sz="6" w:space="0" w:color="000000"/>
              <w:right w:val="single" w:sz="6" w:space="0" w:color="BFBFBF"/>
            </w:tcBorders>
            <w:shd w:val="clear" w:color="auto" w:fill="0070C0"/>
            <w:tcMar>
              <w:top w:w="0" w:type="dxa"/>
              <w:left w:w="45" w:type="dxa"/>
              <w:bottom w:w="0" w:type="dxa"/>
              <w:right w:w="45" w:type="dxa"/>
            </w:tcMar>
            <w:vAlign w:val="center"/>
            <w:hideMark/>
          </w:tcPr>
          <w:p w14:paraId="272FFFA2" w14:textId="77777777" w:rsidR="004E434C" w:rsidRPr="001A6419" w:rsidRDefault="004E434C" w:rsidP="001A6419">
            <w:pPr>
              <w:jc w:val="both"/>
              <w:rPr>
                <w:rFonts w:ascii="Verdana" w:hAnsi="Verdana"/>
                <w:b/>
                <w:bCs/>
                <w:color w:val="FFFFFF"/>
                <w:sz w:val="22"/>
                <w:szCs w:val="22"/>
              </w:rPr>
            </w:pPr>
            <w:r w:rsidRPr="001A6419">
              <w:rPr>
                <w:rFonts w:ascii="Verdana" w:hAnsi="Verdana"/>
                <w:b/>
                <w:bCs/>
                <w:color w:val="FFFFFF"/>
                <w:sz w:val="22"/>
                <w:szCs w:val="22"/>
              </w:rPr>
              <w:t>Clase de Vehículo</w:t>
            </w:r>
          </w:p>
        </w:tc>
        <w:tc>
          <w:tcPr>
            <w:tcW w:w="2410" w:type="dxa"/>
            <w:tcBorders>
              <w:top w:val="single" w:sz="6" w:space="0" w:color="BFBFBF"/>
              <w:bottom w:val="single" w:sz="6" w:space="0" w:color="000000"/>
              <w:right w:val="single" w:sz="6" w:space="0" w:color="BFBFBF"/>
            </w:tcBorders>
            <w:shd w:val="clear" w:color="auto" w:fill="0070C0"/>
            <w:tcMar>
              <w:top w:w="0" w:type="dxa"/>
              <w:left w:w="45" w:type="dxa"/>
              <w:bottom w:w="0" w:type="dxa"/>
              <w:right w:w="45" w:type="dxa"/>
            </w:tcMar>
            <w:vAlign w:val="center"/>
            <w:hideMark/>
          </w:tcPr>
          <w:p w14:paraId="776EABC9" w14:textId="77777777" w:rsidR="004E434C" w:rsidRPr="001A6419" w:rsidRDefault="004E434C" w:rsidP="001A6419">
            <w:pPr>
              <w:jc w:val="both"/>
              <w:rPr>
                <w:rFonts w:ascii="Verdana" w:hAnsi="Verdana"/>
                <w:b/>
                <w:bCs/>
                <w:color w:val="FFFFFF"/>
                <w:sz w:val="22"/>
                <w:szCs w:val="22"/>
              </w:rPr>
            </w:pPr>
            <w:r w:rsidRPr="001A6419">
              <w:rPr>
                <w:rFonts w:ascii="Verdana" w:hAnsi="Verdana"/>
                <w:b/>
                <w:bCs/>
                <w:color w:val="FFFFFF"/>
                <w:sz w:val="22"/>
                <w:szCs w:val="22"/>
              </w:rPr>
              <w:t>Marca</w:t>
            </w:r>
          </w:p>
        </w:tc>
      </w:tr>
      <w:tr w:rsidR="00EB4AFD" w:rsidRPr="001A6419" w14:paraId="04572D8C"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DBC4B8E" w14:textId="77777777" w:rsidR="004E434C" w:rsidRPr="001A6419" w:rsidRDefault="004E434C" w:rsidP="001A6419">
            <w:pPr>
              <w:jc w:val="both"/>
              <w:rPr>
                <w:rFonts w:ascii="Verdana" w:hAnsi="Verdana"/>
                <w:sz w:val="22"/>
                <w:szCs w:val="22"/>
              </w:rPr>
            </w:pPr>
            <w:r w:rsidRPr="001A6419">
              <w:rPr>
                <w:rFonts w:ascii="Verdana" w:hAnsi="Verdana"/>
                <w:sz w:val="22"/>
                <w:szCs w:val="22"/>
              </w:rPr>
              <w:t>ONK 803</w:t>
            </w:r>
          </w:p>
        </w:tc>
        <w:tc>
          <w:tcPr>
            <w:tcW w:w="2693" w:type="dxa"/>
            <w:tcBorders>
              <w:bottom w:val="single" w:sz="6" w:space="0" w:color="000000"/>
              <w:right w:val="single" w:sz="6" w:space="0" w:color="000000"/>
            </w:tcBorders>
            <w:tcMar>
              <w:top w:w="0" w:type="dxa"/>
              <w:left w:w="45" w:type="dxa"/>
              <w:bottom w:w="0" w:type="dxa"/>
              <w:right w:w="45" w:type="dxa"/>
            </w:tcMar>
            <w:vAlign w:val="center"/>
            <w:hideMark/>
          </w:tcPr>
          <w:p w14:paraId="7BAB5149" w14:textId="77777777" w:rsidR="004E434C" w:rsidRPr="001A6419" w:rsidRDefault="004E434C" w:rsidP="001A6419">
            <w:pPr>
              <w:jc w:val="both"/>
              <w:rPr>
                <w:rFonts w:ascii="Verdana" w:hAnsi="Verdana"/>
                <w:sz w:val="22"/>
                <w:szCs w:val="22"/>
              </w:rPr>
            </w:pPr>
            <w:r w:rsidRPr="001A6419">
              <w:rPr>
                <w:rFonts w:ascii="Verdana" w:hAnsi="Verdana"/>
                <w:sz w:val="22"/>
                <w:szCs w:val="22"/>
              </w:rPr>
              <w:t>CAMPERO</w:t>
            </w:r>
          </w:p>
        </w:tc>
        <w:tc>
          <w:tcPr>
            <w:tcW w:w="2410" w:type="dxa"/>
            <w:tcBorders>
              <w:bottom w:val="single" w:sz="6" w:space="0" w:color="000000"/>
              <w:right w:val="single" w:sz="6" w:space="0" w:color="000000"/>
            </w:tcBorders>
            <w:tcMar>
              <w:top w:w="0" w:type="dxa"/>
              <w:left w:w="45" w:type="dxa"/>
              <w:bottom w:w="0" w:type="dxa"/>
              <w:right w:w="45" w:type="dxa"/>
            </w:tcMar>
            <w:vAlign w:val="center"/>
            <w:hideMark/>
          </w:tcPr>
          <w:p w14:paraId="765A6164" w14:textId="77777777" w:rsidR="004E434C" w:rsidRPr="001A6419" w:rsidRDefault="004E434C" w:rsidP="001A6419">
            <w:pPr>
              <w:jc w:val="both"/>
              <w:rPr>
                <w:rFonts w:ascii="Verdana" w:hAnsi="Verdana"/>
                <w:sz w:val="22"/>
                <w:szCs w:val="22"/>
              </w:rPr>
            </w:pPr>
            <w:r w:rsidRPr="001A6419">
              <w:rPr>
                <w:rFonts w:ascii="Verdana" w:hAnsi="Verdana"/>
                <w:sz w:val="22"/>
                <w:szCs w:val="22"/>
              </w:rPr>
              <w:t>SUZUKI</w:t>
            </w:r>
          </w:p>
        </w:tc>
      </w:tr>
      <w:tr w:rsidR="00EB4AFD" w:rsidRPr="001A6419" w14:paraId="5775B3E4"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F7AFCD9" w14:textId="589E0CC6" w:rsidR="00124176" w:rsidRPr="001A6419" w:rsidRDefault="00124176" w:rsidP="001A6419">
            <w:pPr>
              <w:jc w:val="both"/>
              <w:rPr>
                <w:rFonts w:ascii="Verdana" w:hAnsi="Verdana"/>
                <w:sz w:val="22"/>
                <w:szCs w:val="22"/>
              </w:rPr>
            </w:pPr>
            <w:r w:rsidRPr="001A6419">
              <w:rPr>
                <w:rFonts w:ascii="Verdana" w:hAnsi="Verdana"/>
                <w:sz w:val="22"/>
                <w:szCs w:val="22"/>
              </w:rPr>
              <w:t>ONL 371</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4C42D205" w14:textId="425CDBED" w:rsidR="00124176" w:rsidRPr="001A6419" w:rsidRDefault="00124176" w:rsidP="001A6419">
            <w:pPr>
              <w:jc w:val="both"/>
              <w:rPr>
                <w:rFonts w:ascii="Verdana" w:hAnsi="Verdana"/>
                <w:sz w:val="22"/>
                <w:szCs w:val="22"/>
              </w:rPr>
            </w:pPr>
            <w:r w:rsidRPr="001A6419">
              <w:rPr>
                <w:rFonts w:ascii="Verdana" w:hAnsi="Verdana"/>
                <w:sz w:val="22"/>
                <w:szCs w:val="22"/>
              </w:rPr>
              <w:t>CAMIONETA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3A7FE4B5" w14:textId="7F6DDE52" w:rsidR="00124176" w:rsidRPr="001A6419" w:rsidRDefault="00124176" w:rsidP="001A6419">
            <w:pPr>
              <w:jc w:val="both"/>
              <w:rPr>
                <w:rFonts w:ascii="Verdana" w:hAnsi="Verdana"/>
                <w:sz w:val="22"/>
                <w:szCs w:val="22"/>
              </w:rPr>
            </w:pPr>
            <w:r w:rsidRPr="001A6419">
              <w:rPr>
                <w:rFonts w:ascii="Verdana" w:hAnsi="Verdana"/>
                <w:sz w:val="22"/>
                <w:szCs w:val="22"/>
              </w:rPr>
              <w:t>TOYOTA</w:t>
            </w:r>
          </w:p>
        </w:tc>
      </w:tr>
      <w:tr w:rsidR="00EB4AFD" w:rsidRPr="001A6419" w14:paraId="4AB8C03A"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9831E40" w14:textId="027E1CB6" w:rsidR="00124176" w:rsidRPr="001A6419" w:rsidRDefault="00124176" w:rsidP="001A6419">
            <w:pPr>
              <w:jc w:val="both"/>
              <w:rPr>
                <w:rFonts w:ascii="Verdana" w:hAnsi="Verdana"/>
                <w:sz w:val="22"/>
                <w:szCs w:val="22"/>
              </w:rPr>
            </w:pPr>
            <w:r w:rsidRPr="001A6419">
              <w:rPr>
                <w:rFonts w:ascii="Verdana" w:hAnsi="Verdana"/>
                <w:sz w:val="22"/>
                <w:szCs w:val="22"/>
              </w:rPr>
              <w:t>OKZ 055</w:t>
            </w:r>
          </w:p>
        </w:tc>
        <w:tc>
          <w:tcPr>
            <w:tcW w:w="2693" w:type="dxa"/>
            <w:tcBorders>
              <w:bottom w:val="single" w:sz="6" w:space="0" w:color="000000"/>
              <w:right w:val="single" w:sz="6" w:space="0" w:color="000000"/>
            </w:tcBorders>
            <w:tcMar>
              <w:top w:w="0" w:type="dxa"/>
              <w:left w:w="45" w:type="dxa"/>
              <w:bottom w:w="0" w:type="dxa"/>
              <w:right w:w="45" w:type="dxa"/>
            </w:tcMar>
            <w:vAlign w:val="center"/>
            <w:hideMark/>
          </w:tcPr>
          <w:p w14:paraId="162C50B9" w14:textId="5B29AB93" w:rsidR="00124176" w:rsidRPr="001A6419" w:rsidRDefault="00124176" w:rsidP="001A6419">
            <w:pPr>
              <w:jc w:val="both"/>
              <w:rPr>
                <w:rFonts w:ascii="Verdana" w:hAnsi="Verdana"/>
                <w:sz w:val="22"/>
                <w:szCs w:val="22"/>
              </w:rPr>
            </w:pPr>
            <w:r w:rsidRPr="001A6419">
              <w:rPr>
                <w:rFonts w:ascii="Verdana" w:hAnsi="Verdana"/>
                <w:sz w:val="22"/>
                <w:szCs w:val="22"/>
              </w:rPr>
              <w:t>CAMIONETA</w:t>
            </w:r>
          </w:p>
        </w:tc>
        <w:tc>
          <w:tcPr>
            <w:tcW w:w="2410" w:type="dxa"/>
            <w:tcBorders>
              <w:bottom w:val="single" w:sz="6" w:space="0" w:color="000000"/>
              <w:right w:val="single" w:sz="6" w:space="0" w:color="000000"/>
            </w:tcBorders>
            <w:tcMar>
              <w:top w:w="0" w:type="dxa"/>
              <w:left w:w="45" w:type="dxa"/>
              <w:bottom w:w="0" w:type="dxa"/>
              <w:right w:w="45" w:type="dxa"/>
            </w:tcMar>
            <w:vAlign w:val="center"/>
            <w:hideMark/>
          </w:tcPr>
          <w:p w14:paraId="3D218A05" w14:textId="10071D3C" w:rsidR="00124176" w:rsidRPr="001A6419" w:rsidRDefault="00124176" w:rsidP="001A6419">
            <w:pPr>
              <w:jc w:val="both"/>
              <w:rPr>
                <w:rFonts w:ascii="Verdana" w:hAnsi="Verdana"/>
                <w:sz w:val="22"/>
                <w:szCs w:val="22"/>
              </w:rPr>
            </w:pPr>
            <w:r w:rsidRPr="001A6419">
              <w:rPr>
                <w:rFonts w:ascii="Verdana" w:hAnsi="Verdana"/>
                <w:sz w:val="22"/>
                <w:szCs w:val="22"/>
              </w:rPr>
              <w:t>CHEVROLET</w:t>
            </w:r>
          </w:p>
        </w:tc>
      </w:tr>
      <w:tr w:rsidR="00EB4AFD" w:rsidRPr="001A6419" w14:paraId="11F96C71"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CB345D1" w14:textId="225D2B31" w:rsidR="00124176" w:rsidRPr="001A6419" w:rsidRDefault="00124176" w:rsidP="001A6419">
            <w:pPr>
              <w:jc w:val="both"/>
              <w:rPr>
                <w:rFonts w:ascii="Verdana" w:hAnsi="Verdana"/>
                <w:sz w:val="22"/>
                <w:szCs w:val="22"/>
              </w:rPr>
            </w:pPr>
            <w:r w:rsidRPr="001A6419">
              <w:rPr>
                <w:rFonts w:ascii="Verdana" w:hAnsi="Verdana"/>
                <w:sz w:val="22"/>
                <w:szCs w:val="22"/>
              </w:rPr>
              <w:t>OKZ 056</w:t>
            </w:r>
          </w:p>
        </w:tc>
        <w:tc>
          <w:tcPr>
            <w:tcW w:w="2693" w:type="dxa"/>
            <w:tcBorders>
              <w:bottom w:val="single" w:sz="6" w:space="0" w:color="000000"/>
              <w:right w:val="single" w:sz="6" w:space="0" w:color="000000"/>
            </w:tcBorders>
            <w:tcMar>
              <w:top w:w="0" w:type="dxa"/>
              <w:left w:w="45" w:type="dxa"/>
              <w:bottom w:w="0" w:type="dxa"/>
              <w:right w:w="45" w:type="dxa"/>
            </w:tcMar>
            <w:vAlign w:val="center"/>
            <w:hideMark/>
          </w:tcPr>
          <w:p w14:paraId="748A271C" w14:textId="46039F27" w:rsidR="00124176" w:rsidRPr="001A6419" w:rsidRDefault="00124176" w:rsidP="001A6419">
            <w:pPr>
              <w:jc w:val="both"/>
              <w:rPr>
                <w:rFonts w:ascii="Verdana" w:hAnsi="Verdana"/>
                <w:sz w:val="22"/>
                <w:szCs w:val="22"/>
              </w:rPr>
            </w:pPr>
            <w:r w:rsidRPr="001A6419">
              <w:rPr>
                <w:rFonts w:ascii="Verdana" w:hAnsi="Verdana"/>
                <w:sz w:val="22"/>
                <w:szCs w:val="22"/>
              </w:rPr>
              <w:t>CAMIONETA</w:t>
            </w:r>
          </w:p>
        </w:tc>
        <w:tc>
          <w:tcPr>
            <w:tcW w:w="2410" w:type="dxa"/>
            <w:tcBorders>
              <w:bottom w:val="single" w:sz="6" w:space="0" w:color="000000"/>
              <w:right w:val="single" w:sz="6" w:space="0" w:color="000000"/>
            </w:tcBorders>
            <w:tcMar>
              <w:top w:w="0" w:type="dxa"/>
              <w:left w:w="45" w:type="dxa"/>
              <w:bottom w:w="0" w:type="dxa"/>
              <w:right w:w="45" w:type="dxa"/>
            </w:tcMar>
            <w:vAlign w:val="center"/>
            <w:hideMark/>
          </w:tcPr>
          <w:p w14:paraId="730B423F" w14:textId="7C53ACD8" w:rsidR="00124176" w:rsidRPr="001A6419" w:rsidRDefault="00124176" w:rsidP="001A6419">
            <w:pPr>
              <w:jc w:val="both"/>
              <w:rPr>
                <w:rFonts w:ascii="Verdana" w:hAnsi="Verdana"/>
                <w:sz w:val="22"/>
                <w:szCs w:val="22"/>
              </w:rPr>
            </w:pPr>
            <w:r w:rsidRPr="001A6419">
              <w:rPr>
                <w:rFonts w:ascii="Verdana" w:hAnsi="Verdana"/>
                <w:sz w:val="22"/>
                <w:szCs w:val="22"/>
              </w:rPr>
              <w:t>CHEVROLET</w:t>
            </w:r>
          </w:p>
        </w:tc>
      </w:tr>
      <w:tr w:rsidR="00EB4AFD" w:rsidRPr="001A6419" w14:paraId="38067252"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8C1E0C7" w14:textId="6F2F7FA0" w:rsidR="00124176" w:rsidRPr="001A6419" w:rsidRDefault="00124176" w:rsidP="001A6419">
            <w:pPr>
              <w:jc w:val="both"/>
              <w:rPr>
                <w:rFonts w:ascii="Verdana" w:hAnsi="Verdana"/>
                <w:sz w:val="22"/>
                <w:szCs w:val="22"/>
              </w:rPr>
            </w:pPr>
            <w:r w:rsidRPr="001A6419">
              <w:rPr>
                <w:rFonts w:ascii="Verdana" w:hAnsi="Verdana"/>
                <w:sz w:val="22"/>
                <w:szCs w:val="22"/>
              </w:rPr>
              <w:t>OKZ 057</w:t>
            </w:r>
          </w:p>
        </w:tc>
        <w:tc>
          <w:tcPr>
            <w:tcW w:w="2693" w:type="dxa"/>
            <w:tcBorders>
              <w:bottom w:val="single" w:sz="6" w:space="0" w:color="000000"/>
              <w:right w:val="single" w:sz="6" w:space="0" w:color="000000"/>
            </w:tcBorders>
            <w:tcMar>
              <w:top w:w="0" w:type="dxa"/>
              <w:left w:w="45" w:type="dxa"/>
              <w:bottom w:w="0" w:type="dxa"/>
              <w:right w:w="45" w:type="dxa"/>
            </w:tcMar>
            <w:vAlign w:val="center"/>
            <w:hideMark/>
          </w:tcPr>
          <w:p w14:paraId="30D8EED6" w14:textId="0F05FB7B" w:rsidR="00124176" w:rsidRPr="001A6419" w:rsidRDefault="00124176" w:rsidP="001A6419">
            <w:pPr>
              <w:jc w:val="both"/>
              <w:rPr>
                <w:rFonts w:ascii="Verdana" w:hAnsi="Verdana"/>
                <w:sz w:val="22"/>
                <w:szCs w:val="22"/>
              </w:rPr>
            </w:pPr>
            <w:r w:rsidRPr="001A6419">
              <w:rPr>
                <w:rFonts w:ascii="Verdana" w:hAnsi="Verdana"/>
                <w:sz w:val="22"/>
                <w:szCs w:val="22"/>
              </w:rPr>
              <w:t>CAMIONETA</w:t>
            </w:r>
          </w:p>
        </w:tc>
        <w:tc>
          <w:tcPr>
            <w:tcW w:w="2410" w:type="dxa"/>
            <w:tcBorders>
              <w:bottom w:val="single" w:sz="6" w:space="0" w:color="000000"/>
              <w:right w:val="single" w:sz="6" w:space="0" w:color="000000"/>
            </w:tcBorders>
            <w:tcMar>
              <w:top w:w="0" w:type="dxa"/>
              <w:left w:w="45" w:type="dxa"/>
              <w:bottom w:w="0" w:type="dxa"/>
              <w:right w:w="45" w:type="dxa"/>
            </w:tcMar>
            <w:vAlign w:val="center"/>
            <w:hideMark/>
          </w:tcPr>
          <w:p w14:paraId="0D4F5898" w14:textId="1018FBF0" w:rsidR="00124176" w:rsidRPr="001A6419" w:rsidRDefault="00124176" w:rsidP="001A6419">
            <w:pPr>
              <w:jc w:val="both"/>
              <w:rPr>
                <w:rFonts w:ascii="Verdana" w:hAnsi="Verdana"/>
                <w:sz w:val="22"/>
                <w:szCs w:val="22"/>
              </w:rPr>
            </w:pPr>
            <w:r w:rsidRPr="001A6419">
              <w:rPr>
                <w:rFonts w:ascii="Verdana" w:hAnsi="Verdana"/>
                <w:sz w:val="22"/>
                <w:szCs w:val="22"/>
              </w:rPr>
              <w:t>CHEVROLET</w:t>
            </w:r>
          </w:p>
        </w:tc>
      </w:tr>
      <w:tr w:rsidR="00EB4AFD" w:rsidRPr="001A6419" w14:paraId="33D95B40"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A5C88FB" w14:textId="12BC353D" w:rsidR="00124176" w:rsidRPr="001A6419" w:rsidRDefault="00124176" w:rsidP="001A6419">
            <w:pPr>
              <w:jc w:val="both"/>
              <w:rPr>
                <w:rFonts w:ascii="Verdana" w:hAnsi="Verdana"/>
                <w:sz w:val="22"/>
                <w:szCs w:val="22"/>
              </w:rPr>
            </w:pPr>
            <w:r w:rsidRPr="001A6419">
              <w:rPr>
                <w:rFonts w:ascii="Verdana" w:hAnsi="Verdana"/>
                <w:sz w:val="22"/>
                <w:szCs w:val="22"/>
              </w:rPr>
              <w:t>OJZ 740</w:t>
            </w:r>
          </w:p>
        </w:tc>
        <w:tc>
          <w:tcPr>
            <w:tcW w:w="2693" w:type="dxa"/>
            <w:tcBorders>
              <w:bottom w:val="single" w:sz="6" w:space="0" w:color="000000"/>
              <w:right w:val="single" w:sz="6" w:space="0" w:color="000000"/>
            </w:tcBorders>
            <w:tcMar>
              <w:top w:w="0" w:type="dxa"/>
              <w:left w:w="45" w:type="dxa"/>
              <w:bottom w:w="0" w:type="dxa"/>
              <w:right w:w="45" w:type="dxa"/>
            </w:tcMar>
            <w:vAlign w:val="center"/>
            <w:hideMark/>
          </w:tcPr>
          <w:p w14:paraId="7AFFF32D" w14:textId="6485EFA4" w:rsidR="00124176" w:rsidRPr="001A6419" w:rsidRDefault="00124176" w:rsidP="001A6419">
            <w:pPr>
              <w:jc w:val="both"/>
              <w:rPr>
                <w:rFonts w:ascii="Verdana" w:hAnsi="Verdana"/>
                <w:sz w:val="22"/>
                <w:szCs w:val="22"/>
              </w:rPr>
            </w:pPr>
            <w:r w:rsidRPr="001A6419">
              <w:rPr>
                <w:rFonts w:ascii="Verdana" w:hAnsi="Verdana"/>
                <w:sz w:val="22"/>
                <w:szCs w:val="22"/>
              </w:rPr>
              <w:t>CAMIONETA</w:t>
            </w:r>
          </w:p>
        </w:tc>
        <w:tc>
          <w:tcPr>
            <w:tcW w:w="2410" w:type="dxa"/>
            <w:tcBorders>
              <w:bottom w:val="single" w:sz="6" w:space="0" w:color="000000"/>
              <w:right w:val="single" w:sz="6" w:space="0" w:color="000000"/>
            </w:tcBorders>
            <w:tcMar>
              <w:top w:w="0" w:type="dxa"/>
              <w:left w:w="45" w:type="dxa"/>
              <w:bottom w:w="0" w:type="dxa"/>
              <w:right w:w="45" w:type="dxa"/>
            </w:tcMar>
            <w:vAlign w:val="center"/>
            <w:hideMark/>
          </w:tcPr>
          <w:p w14:paraId="4820F810" w14:textId="2B169A24" w:rsidR="00124176" w:rsidRPr="001A6419" w:rsidRDefault="00124176" w:rsidP="001A6419">
            <w:pPr>
              <w:jc w:val="both"/>
              <w:rPr>
                <w:rFonts w:ascii="Verdana" w:hAnsi="Verdana"/>
                <w:sz w:val="22"/>
                <w:szCs w:val="22"/>
              </w:rPr>
            </w:pPr>
            <w:r w:rsidRPr="001A6419">
              <w:rPr>
                <w:rFonts w:ascii="Verdana" w:hAnsi="Verdana"/>
                <w:sz w:val="22"/>
                <w:szCs w:val="22"/>
              </w:rPr>
              <w:t>MITSUBISHI</w:t>
            </w:r>
          </w:p>
        </w:tc>
      </w:tr>
      <w:tr w:rsidR="00EB4AFD" w:rsidRPr="001A6419" w14:paraId="159170C1"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48E6D22" w14:textId="0D8A262C" w:rsidR="00124176" w:rsidRPr="001A6419" w:rsidRDefault="00124176" w:rsidP="001A6419">
            <w:pPr>
              <w:jc w:val="both"/>
              <w:rPr>
                <w:rFonts w:ascii="Verdana" w:hAnsi="Verdana"/>
                <w:sz w:val="22"/>
                <w:szCs w:val="22"/>
              </w:rPr>
            </w:pPr>
            <w:r w:rsidRPr="001A6419">
              <w:rPr>
                <w:rFonts w:ascii="Verdana" w:hAnsi="Verdana"/>
                <w:sz w:val="22"/>
                <w:szCs w:val="22"/>
              </w:rPr>
              <w:t>OJZ 741</w:t>
            </w:r>
          </w:p>
        </w:tc>
        <w:tc>
          <w:tcPr>
            <w:tcW w:w="2693" w:type="dxa"/>
            <w:tcBorders>
              <w:bottom w:val="single" w:sz="6" w:space="0" w:color="000000"/>
              <w:right w:val="single" w:sz="6" w:space="0" w:color="000000"/>
            </w:tcBorders>
            <w:tcMar>
              <w:top w:w="0" w:type="dxa"/>
              <w:left w:w="45" w:type="dxa"/>
              <w:bottom w:w="0" w:type="dxa"/>
              <w:right w:w="45" w:type="dxa"/>
            </w:tcMar>
            <w:vAlign w:val="center"/>
            <w:hideMark/>
          </w:tcPr>
          <w:p w14:paraId="56FD84BF" w14:textId="4981D1B0" w:rsidR="00124176" w:rsidRPr="001A6419" w:rsidRDefault="00124176" w:rsidP="001A6419">
            <w:pPr>
              <w:jc w:val="both"/>
              <w:rPr>
                <w:rFonts w:ascii="Verdana" w:hAnsi="Verdana"/>
                <w:sz w:val="22"/>
                <w:szCs w:val="22"/>
              </w:rPr>
            </w:pPr>
            <w:r w:rsidRPr="001A6419">
              <w:rPr>
                <w:rFonts w:ascii="Verdana" w:hAnsi="Verdana"/>
                <w:sz w:val="22"/>
                <w:szCs w:val="22"/>
              </w:rPr>
              <w:t>CAMIONETA</w:t>
            </w:r>
          </w:p>
        </w:tc>
        <w:tc>
          <w:tcPr>
            <w:tcW w:w="2410" w:type="dxa"/>
            <w:tcBorders>
              <w:bottom w:val="single" w:sz="6" w:space="0" w:color="000000"/>
              <w:right w:val="single" w:sz="6" w:space="0" w:color="000000"/>
            </w:tcBorders>
            <w:tcMar>
              <w:top w:w="0" w:type="dxa"/>
              <w:left w:w="45" w:type="dxa"/>
              <w:bottom w:w="0" w:type="dxa"/>
              <w:right w:w="45" w:type="dxa"/>
            </w:tcMar>
            <w:vAlign w:val="center"/>
            <w:hideMark/>
          </w:tcPr>
          <w:p w14:paraId="56DA7398" w14:textId="48190211" w:rsidR="00124176" w:rsidRPr="001A6419" w:rsidRDefault="00124176" w:rsidP="001A6419">
            <w:pPr>
              <w:jc w:val="both"/>
              <w:rPr>
                <w:rFonts w:ascii="Verdana" w:hAnsi="Verdana"/>
                <w:sz w:val="22"/>
                <w:szCs w:val="22"/>
              </w:rPr>
            </w:pPr>
            <w:r w:rsidRPr="001A6419">
              <w:rPr>
                <w:rFonts w:ascii="Verdana" w:hAnsi="Verdana"/>
                <w:sz w:val="22"/>
                <w:szCs w:val="22"/>
              </w:rPr>
              <w:t>MITSUBISHI</w:t>
            </w:r>
          </w:p>
        </w:tc>
      </w:tr>
      <w:tr w:rsidR="00EB4AFD" w:rsidRPr="001A6419" w14:paraId="2F29E2C0"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079F4A1F" w14:textId="744C3227" w:rsidR="00EB4AFD" w:rsidRPr="001A6419" w:rsidRDefault="00EB4AFD" w:rsidP="001A6419">
            <w:pPr>
              <w:jc w:val="both"/>
              <w:rPr>
                <w:rFonts w:ascii="Verdana" w:hAnsi="Verdana"/>
                <w:sz w:val="22"/>
                <w:szCs w:val="22"/>
              </w:rPr>
            </w:pPr>
            <w:r w:rsidRPr="001A6419">
              <w:rPr>
                <w:rFonts w:ascii="Verdana" w:hAnsi="Verdana"/>
                <w:sz w:val="22"/>
                <w:szCs w:val="22"/>
              </w:rPr>
              <w:t>TYN 42F</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04EB4EF9" w14:textId="2A2CFFF9"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5241536A" w14:textId="1B64CC66" w:rsidR="00EB4AFD" w:rsidRPr="001A6419" w:rsidRDefault="00EB4AFD" w:rsidP="001A6419">
            <w:pPr>
              <w:jc w:val="both"/>
              <w:rPr>
                <w:rFonts w:ascii="Verdana" w:hAnsi="Verdana"/>
                <w:sz w:val="22"/>
                <w:szCs w:val="22"/>
              </w:rPr>
            </w:pPr>
            <w:r w:rsidRPr="001A6419">
              <w:rPr>
                <w:rFonts w:ascii="Verdana" w:hAnsi="Verdana"/>
                <w:sz w:val="22"/>
                <w:szCs w:val="22"/>
              </w:rPr>
              <w:t>MOTO YAMAHA</w:t>
            </w:r>
          </w:p>
        </w:tc>
      </w:tr>
      <w:tr w:rsidR="00EB4AFD" w:rsidRPr="001A6419" w14:paraId="369BDE47"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4ECA009" w14:textId="05022FD6" w:rsidR="00EB4AFD" w:rsidRPr="001A6419" w:rsidRDefault="00EB4AFD" w:rsidP="001A6419">
            <w:pPr>
              <w:jc w:val="both"/>
              <w:rPr>
                <w:rFonts w:ascii="Verdana" w:hAnsi="Verdana"/>
                <w:sz w:val="22"/>
                <w:szCs w:val="22"/>
              </w:rPr>
            </w:pPr>
            <w:r w:rsidRPr="001A6419">
              <w:rPr>
                <w:rFonts w:ascii="Verdana" w:hAnsi="Verdana"/>
                <w:sz w:val="22"/>
                <w:szCs w:val="22"/>
              </w:rPr>
              <w:t>FLY 34G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34C473A1" w14:textId="3FF1E2DC"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6F94B2CA" w14:textId="3D98DBA7" w:rsidR="00EB4AFD" w:rsidRPr="001A6419" w:rsidRDefault="00EB4AFD" w:rsidP="001A6419">
            <w:pPr>
              <w:jc w:val="both"/>
              <w:rPr>
                <w:rFonts w:ascii="Verdana" w:hAnsi="Verdana"/>
                <w:sz w:val="22"/>
                <w:szCs w:val="22"/>
              </w:rPr>
            </w:pPr>
            <w:r w:rsidRPr="001A6419">
              <w:rPr>
                <w:rFonts w:ascii="Verdana" w:hAnsi="Verdana"/>
                <w:sz w:val="22"/>
                <w:szCs w:val="22"/>
              </w:rPr>
              <w:t>MOTO YAMAHA</w:t>
            </w:r>
          </w:p>
        </w:tc>
      </w:tr>
      <w:tr w:rsidR="00EB4AFD" w:rsidRPr="001A6419" w14:paraId="45A5EBEC"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4AB1D0B" w14:textId="2C2F6551" w:rsidR="00EB4AFD" w:rsidRPr="001A6419" w:rsidRDefault="00EB4AFD" w:rsidP="001A6419">
            <w:pPr>
              <w:jc w:val="both"/>
              <w:rPr>
                <w:rFonts w:ascii="Verdana" w:hAnsi="Verdana"/>
                <w:sz w:val="22"/>
                <w:szCs w:val="22"/>
              </w:rPr>
            </w:pPr>
            <w:r w:rsidRPr="001A6419">
              <w:rPr>
                <w:rFonts w:ascii="Verdana" w:hAnsi="Verdana"/>
                <w:sz w:val="22"/>
                <w:szCs w:val="22"/>
              </w:rPr>
              <w:t>FLY 33G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0385DAE8" w14:textId="314EB17D"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412BBAB1" w14:textId="32FBD2D1" w:rsidR="00EB4AFD" w:rsidRPr="001A6419" w:rsidRDefault="00EB4AFD" w:rsidP="001A6419">
            <w:pPr>
              <w:jc w:val="both"/>
              <w:rPr>
                <w:rFonts w:ascii="Verdana" w:hAnsi="Verdana"/>
                <w:sz w:val="22"/>
                <w:szCs w:val="22"/>
              </w:rPr>
            </w:pPr>
            <w:r w:rsidRPr="001A6419">
              <w:rPr>
                <w:rFonts w:ascii="Verdana" w:hAnsi="Verdana"/>
                <w:sz w:val="22"/>
                <w:szCs w:val="22"/>
              </w:rPr>
              <w:t>MOTO YAMAHA</w:t>
            </w:r>
          </w:p>
        </w:tc>
      </w:tr>
      <w:tr w:rsidR="00EB4AFD" w:rsidRPr="001A6419" w14:paraId="5195A676"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09588B7D" w14:textId="01D35D91" w:rsidR="00EB4AFD" w:rsidRPr="001A6419" w:rsidRDefault="00EB4AFD" w:rsidP="001A6419">
            <w:pPr>
              <w:jc w:val="both"/>
              <w:rPr>
                <w:rFonts w:ascii="Verdana" w:hAnsi="Verdana"/>
                <w:sz w:val="22"/>
                <w:szCs w:val="22"/>
              </w:rPr>
            </w:pPr>
            <w:r w:rsidRPr="001A6419">
              <w:rPr>
                <w:rFonts w:ascii="Verdana" w:hAnsi="Verdana"/>
                <w:sz w:val="22"/>
                <w:szCs w:val="22"/>
              </w:rPr>
              <w:t>FLY 32G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24EBEA37" w14:textId="24B93BA6"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0985157A" w14:textId="71321D14" w:rsidR="00EB4AFD" w:rsidRPr="001A6419" w:rsidRDefault="00EB4AFD" w:rsidP="001A6419">
            <w:pPr>
              <w:jc w:val="both"/>
              <w:rPr>
                <w:rFonts w:ascii="Verdana" w:hAnsi="Verdana"/>
                <w:sz w:val="22"/>
                <w:szCs w:val="22"/>
              </w:rPr>
            </w:pPr>
            <w:r w:rsidRPr="001A6419">
              <w:rPr>
                <w:rFonts w:ascii="Verdana" w:hAnsi="Verdana"/>
                <w:sz w:val="22"/>
                <w:szCs w:val="22"/>
              </w:rPr>
              <w:t>MOTO YAMAHA</w:t>
            </w:r>
          </w:p>
        </w:tc>
      </w:tr>
      <w:tr w:rsidR="00EB4AFD" w:rsidRPr="001A6419" w14:paraId="6421AB96"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51FDF18" w14:textId="2A928DF0" w:rsidR="00EB4AFD" w:rsidRPr="001A6419" w:rsidRDefault="00EB4AFD" w:rsidP="001A6419">
            <w:pPr>
              <w:jc w:val="both"/>
              <w:rPr>
                <w:rFonts w:ascii="Verdana" w:hAnsi="Verdana"/>
                <w:sz w:val="22"/>
                <w:szCs w:val="22"/>
              </w:rPr>
            </w:pPr>
            <w:r w:rsidRPr="001A6419">
              <w:rPr>
                <w:rFonts w:ascii="Verdana" w:hAnsi="Verdana"/>
                <w:sz w:val="22"/>
                <w:szCs w:val="22"/>
              </w:rPr>
              <w:t>FLY 31G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62BEA0F1" w14:textId="535C0BD3"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463115E4" w14:textId="0D3E7D1D" w:rsidR="00EB4AFD" w:rsidRPr="001A6419" w:rsidRDefault="00EB4AFD" w:rsidP="001A6419">
            <w:pPr>
              <w:jc w:val="both"/>
              <w:rPr>
                <w:rFonts w:ascii="Verdana" w:hAnsi="Verdana"/>
                <w:sz w:val="22"/>
                <w:szCs w:val="22"/>
              </w:rPr>
            </w:pPr>
            <w:r w:rsidRPr="001A6419">
              <w:rPr>
                <w:rFonts w:ascii="Verdana" w:hAnsi="Verdana"/>
                <w:sz w:val="22"/>
                <w:szCs w:val="22"/>
              </w:rPr>
              <w:t>MOTO YAMAHA</w:t>
            </w:r>
          </w:p>
        </w:tc>
      </w:tr>
      <w:tr w:rsidR="00EB4AFD" w:rsidRPr="001A6419" w14:paraId="07F6D275"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AC07893" w14:textId="59680CD2" w:rsidR="00EB4AFD" w:rsidRPr="001A6419" w:rsidRDefault="00EB4AFD" w:rsidP="001A6419">
            <w:pPr>
              <w:jc w:val="both"/>
              <w:rPr>
                <w:rFonts w:ascii="Verdana" w:hAnsi="Verdana"/>
                <w:sz w:val="22"/>
                <w:szCs w:val="22"/>
              </w:rPr>
            </w:pPr>
            <w:r w:rsidRPr="001A6419">
              <w:rPr>
                <w:rFonts w:ascii="Verdana" w:hAnsi="Verdana"/>
                <w:sz w:val="22"/>
                <w:szCs w:val="22"/>
              </w:rPr>
              <w:t>FLY 30G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44DE8C7F" w14:textId="07C0C270"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28C0CFF6" w14:textId="08EFF69E" w:rsidR="00EB4AFD" w:rsidRPr="001A6419" w:rsidRDefault="00EB4AFD" w:rsidP="001A6419">
            <w:pPr>
              <w:jc w:val="both"/>
              <w:rPr>
                <w:rFonts w:ascii="Verdana" w:hAnsi="Verdana"/>
                <w:sz w:val="22"/>
                <w:szCs w:val="22"/>
              </w:rPr>
            </w:pPr>
            <w:r w:rsidRPr="001A6419">
              <w:rPr>
                <w:rFonts w:ascii="Verdana" w:hAnsi="Verdana"/>
                <w:sz w:val="22"/>
                <w:szCs w:val="22"/>
              </w:rPr>
              <w:t>MOTO YAMAHA</w:t>
            </w:r>
          </w:p>
        </w:tc>
      </w:tr>
      <w:tr w:rsidR="00EB4AFD" w:rsidRPr="001A6419" w14:paraId="1D1A2700"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22F48DED" w14:textId="78D4BA27" w:rsidR="00EB4AFD" w:rsidRPr="001A6419" w:rsidRDefault="00EB4AFD" w:rsidP="001A6419">
            <w:pPr>
              <w:jc w:val="both"/>
              <w:rPr>
                <w:rFonts w:ascii="Verdana" w:hAnsi="Verdana"/>
                <w:sz w:val="22"/>
                <w:szCs w:val="22"/>
              </w:rPr>
            </w:pPr>
            <w:r w:rsidRPr="001A6419">
              <w:rPr>
                <w:rFonts w:ascii="Verdana" w:hAnsi="Verdana"/>
                <w:sz w:val="22"/>
                <w:szCs w:val="22"/>
              </w:rPr>
              <w:t>FMU 17G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1AF57226" w14:textId="13F65133"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5528E65B" w14:textId="6B95BBB6" w:rsidR="00EB4AFD" w:rsidRPr="001A6419" w:rsidRDefault="00EB4AFD" w:rsidP="001A6419">
            <w:pPr>
              <w:jc w:val="both"/>
              <w:rPr>
                <w:rFonts w:ascii="Verdana" w:hAnsi="Verdana"/>
                <w:sz w:val="22"/>
                <w:szCs w:val="22"/>
              </w:rPr>
            </w:pPr>
            <w:r w:rsidRPr="001A6419">
              <w:rPr>
                <w:rFonts w:ascii="Verdana" w:hAnsi="Verdana"/>
                <w:sz w:val="22"/>
                <w:szCs w:val="22"/>
              </w:rPr>
              <w:t>MOTO HONDA</w:t>
            </w:r>
          </w:p>
        </w:tc>
      </w:tr>
      <w:tr w:rsidR="00EB4AFD" w:rsidRPr="001A6419" w14:paraId="725539D8"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0F56DABC" w14:textId="6A4F1912" w:rsidR="00EB4AFD" w:rsidRPr="001A6419" w:rsidRDefault="00EB4AFD" w:rsidP="001A6419">
            <w:pPr>
              <w:jc w:val="both"/>
              <w:rPr>
                <w:rFonts w:ascii="Verdana" w:hAnsi="Verdana"/>
                <w:sz w:val="22"/>
                <w:szCs w:val="22"/>
              </w:rPr>
            </w:pPr>
            <w:r w:rsidRPr="001A6419">
              <w:rPr>
                <w:rFonts w:ascii="Verdana" w:hAnsi="Verdana"/>
                <w:sz w:val="22"/>
                <w:szCs w:val="22"/>
              </w:rPr>
              <w:t>FMU 16G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12120676" w14:textId="7781AD5D"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588E9E21" w14:textId="44E4C338" w:rsidR="00EB4AFD" w:rsidRPr="001A6419" w:rsidRDefault="00EB4AFD" w:rsidP="001A6419">
            <w:pPr>
              <w:jc w:val="both"/>
              <w:rPr>
                <w:rFonts w:ascii="Verdana" w:hAnsi="Verdana"/>
                <w:sz w:val="22"/>
                <w:szCs w:val="22"/>
              </w:rPr>
            </w:pPr>
            <w:r w:rsidRPr="001A6419">
              <w:rPr>
                <w:rFonts w:ascii="Verdana" w:hAnsi="Verdana"/>
                <w:sz w:val="22"/>
                <w:szCs w:val="22"/>
              </w:rPr>
              <w:t>MOTO HONDA</w:t>
            </w:r>
          </w:p>
        </w:tc>
      </w:tr>
      <w:tr w:rsidR="00EB4AFD" w:rsidRPr="001A6419" w14:paraId="76EEB725"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4A98F5D9" w14:textId="17220DB1" w:rsidR="00EB4AFD" w:rsidRPr="001A6419" w:rsidRDefault="00EB4AFD" w:rsidP="001A6419">
            <w:pPr>
              <w:jc w:val="both"/>
              <w:rPr>
                <w:rFonts w:ascii="Verdana" w:hAnsi="Verdana"/>
                <w:sz w:val="22"/>
                <w:szCs w:val="22"/>
              </w:rPr>
            </w:pPr>
            <w:r w:rsidRPr="001A6419">
              <w:rPr>
                <w:rFonts w:ascii="Verdana" w:hAnsi="Verdana"/>
                <w:sz w:val="22"/>
                <w:szCs w:val="22"/>
              </w:rPr>
              <w:t>FMU 15G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691C72B3" w14:textId="10740AAF"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03693A50" w14:textId="4ECA84B6" w:rsidR="00EB4AFD" w:rsidRPr="001A6419" w:rsidRDefault="00EB4AFD" w:rsidP="001A6419">
            <w:pPr>
              <w:jc w:val="both"/>
              <w:rPr>
                <w:rFonts w:ascii="Verdana" w:hAnsi="Verdana"/>
                <w:sz w:val="22"/>
                <w:szCs w:val="22"/>
              </w:rPr>
            </w:pPr>
            <w:r w:rsidRPr="001A6419">
              <w:rPr>
                <w:rFonts w:ascii="Verdana" w:hAnsi="Verdana"/>
                <w:sz w:val="22"/>
                <w:szCs w:val="22"/>
              </w:rPr>
              <w:t>MOTO HONDA</w:t>
            </w:r>
          </w:p>
        </w:tc>
      </w:tr>
      <w:tr w:rsidR="00EB4AFD" w:rsidRPr="001A6419" w14:paraId="3CD39B0E"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EF50D76" w14:textId="4A52093E" w:rsidR="00EB4AFD" w:rsidRPr="001A6419" w:rsidRDefault="00EB4AFD" w:rsidP="001A6419">
            <w:pPr>
              <w:jc w:val="both"/>
              <w:rPr>
                <w:rFonts w:ascii="Verdana" w:hAnsi="Verdana"/>
                <w:sz w:val="22"/>
                <w:szCs w:val="22"/>
              </w:rPr>
            </w:pPr>
            <w:r w:rsidRPr="001A6419">
              <w:rPr>
                <w:rFonts w:ascii="Verdana" w:hAnsi="Verdana"/>
                <w:sz w:val="22"/>
                <w:szCs w:val="22"/>
              </w:rPr>
              <w:t>FMU 14G</w:t>
            </w: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5A124DFE" w14:textId="4839622B" w:rsidR="00EB4AFD" w:rsidRPr="001A6419" w:rsidRDefault="00EB4AFD" w:rsidP="001A6419">
            <w:pPr>
              <w:jc w:val="both"/>
              <w:rPr>
                <w:rFonts w:ascii="Verdana" w:hAnsi="Verdana"/>
                <w:sz w:val="22"/>
                <w:szCs w:val="22"/>
              </w:rPr>
            </w:pPr>
            <w:r w:rsidRPr="001A6419">
              <w:rPr>
                <w:rFonts w:ascii="Verdana" w:hAnsi="Verdana"/>
                <w:sz w:val="22"/>
                <w:szCs w:val="22"/>
              </w:rPr>
              <w:t>MOTOCICLETA</w:t>
            </w: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0B46F938" w14:textId="5C77F2DF" w:rsidR="00EB4AFD" w:rsidRPr="001A6419" w:rsidRDefault="00EB4AFD" w:rsidP="001A6419">
            <w:pPr>
              <w:jc w:val="both"/>
              <w:rPr>
                <w:rFonts w:ascii="Verdana" w:hAnsi="Verdana"/>
                <w:sz w:val="22"/>
                <w:szCs w:val="22"/>
              </w:rPr>
            </w:pPr>
            <w:r w:rsidRPr="001A6419">
              <w:rPr>
                <w:rFonts w:ascii="Verdana" w:hAnsi="Verdana"/>
                <w:sz w:val="22"/>
                <w:szCs w:val="22"/>
              </w:rPr>
              <w:t>MOTO HONDA</w:t>
            </w:r>
          </w:p>
        </w:tc>
      </w:tr>
      <w:tr w:rsidR="00EB4AFD" w:rsidRPr="001A6419" w14:paraId="05529C42"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CF04D64" w14:textId="281F9B92" w:rsidR="00EB4AFD" w:rsidRPr="001A6419" w:rsidRDefault="00EB4AFD" w:rsidP="001A6419">
            <w:pPr>
              <w:jc w:val="both"/>
              <w:rPr>
                <w:rFonts w:ascii="Verdana" w:hAnsi="Verdana"/>
                <w:sz w:val="22"/>
                <w:szCs w:val="22"/>
              </w:rPr>
            </w:pP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49D5BEFB" w14:textId="7D14F59E" w:rsidR="00EB4AFD" w:rsidRPr="001A6419" w:rsidRDefault="00EB4AFD" w:rsidP="001A6419">
            <w:pPr>
              <w:jc w:val="both"/>
              <w:rPr>
                <w:rFonts w:ascii="Verdana" w:hAnsi="Verdana"/>
                <w:sz w:val="22"/>
                <w:szCs w:val="22"/>
              </w:rPr>
            </w:pP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280C923B" w14:textId="29C4C70D" w:rsidR="00EB4AFD" w:rsidRPr="001A6419" w:rsidRDefault="00EB4AFD" w:rsidP="001A6419">
            <w:pPr>
              <w:jc w:val="both"/>
              <w:rPr>
                <w:rFonts w:ascii="Verdana" w:hAnsi="Verdana"/>
                <w:sz w:val="22"/>
                <w:szCs w:val="22"/>
              </w:rPr>
            </w:pPr>
          </w:p>
        </w:tc>
      </w:tr>
      <w:tr w:rsidR="00EB4AFD" w:rsidRPr="001A6419" w14:paraId="25DC1215"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4D4133A4" w14:textId="28B0CAFF" w:rsidR="00EB4AFD" w:rsidRPr="001A6419" w:rsidRDefault="00EB4AFD" w:rsidP="001A6419">
            <w:pPr>
              <w:jc w:val="both"/>
              <w:rPr>
                <w:rFonts w:ascii="Verdana" w:hAnsi="Verdana"/>
                <w:sz w:val="22"/>
                <w:szCs w:val="22"/>
              </w:rPr>
            </w:pP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59670619" w14:textId="17A8256F" w:rsidR="00EB4AFD" w:rsidRPr="001A6419" w:rsidRDefault="00EB4AFD" w:rsidP="001A6419">
            <w:pPr>
              <w:jc w:val="both"/>
              <w:rPr>
                <w:rFonts w:ascii="Verdana" w:hAnsi="Verdana"/>
                <w:sz w:val="22"/>
                <w:szCs w:val="22"/>
              </w:rPr>
            </w:pP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6061E005" w14:textId="5F9FFC8A" w:rsidR="00EB4AFD" w:rsidRPr="001A6419" w:rsidRDefault="00EB4AFD" w:rsidP="001A6419">
            <w:pPr>
              <w:jc w:val="both"/>
              <w:rPr>
                <w:rFonts w:ascii="Verdana" w:hAnsi="Verdana"/>
                <w:sz w:val="22"/>
                <w:szCs w:val="22"/>
              </w:rPr>
            </w:pPr>
          </w:p>
        </w:tc>
      </w:tr>
      <w:tr w:rsidR="00EB4AFD" w:rsidRPr="001A6419" w14:paraId="442FFB4C"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06AE898C" w14:textId="6C99D0F5" w:rsidR="00EB4AFD" w:rsidRPr="001A6419" w:rsidRDefault="00EB4AFD" w:rsidP="001A6419">
            <w:pPr>
              <w:jc w:val="both"/>
              <w:rPr>
                <w:rFonts w:ascii="Verdana" w:hAnsi="Verdana"/>
                <w:sz w:val="22"/>
                <w:szCs w:val="22"/>
              </w:rPr>
            </w:pP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70DF7222" w14:textId="3EC026B5" w:rsidR="00EB4AFD" w:rsidRPr="001A6419" w:rsidRDefault="00EB4AFD" w:rsidP="001A6419">
            <w:pPr>
              <w:jc w:val="both"/>
              <w:rPr>
                <w:rFonts w:ascii="Verdana" w:hAnsi="Verdana"/>
                <w:sz w:val="22"/>
                <w:szCs w:val="22"/>
              </w:rPr>
            </w:pP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472A7DFC" w14:textId="216870E8" w:rsidR="00EB4AFD" w:rsidRPr="001A6419" w:rsidRDefault="00EB4AFD" w:rsidP="001A6419">
            <w:pPr>
              <w:jc w:val="both"/>
              <w:rPr>
                <w:rFonts w:ascii="Verdana" w:hAnsi="Verdana"/>
                <w:sz w:val="22"/>
                <w:szCs w:val="22"/>
              </w:rPr>
            </w:pPr>
          </w:p>
        </w:tc>
      </w:tr>
      <w:tr w:rsidR="00EB4AFD" w:rsidRPr="001A6419" w14:paraId="0F01B7C9"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FC868C6" w14:textId="57AAEAC9" w:rsidR="00EB4AFD" w:rsidRPr="001A6419" w:rsidRDefault="00EB4AFD" w:rsidP="001A6419">
            <w:pPr>
              <w:jc w:val="both"/>
              <w:rPr>
                <w:rFonts w:ascii="Verdana" w:hAnsi="Verdana"/>
                <w:sz w:val="22"/>
                <w:szCs w:val="22"/>
              </w:rPr>
            </w:pP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46686FC9" w14:textId="5DB72FA0" w:rsidR="00EB4AFD" w:rsidRPr="001A6419" w:rsidRDefault="00EB4AFD" w:rsidP="001A6419">
            <w:pPr>
              <w:jc w:val="both"/>
              <w:rPr>
                <w:rFonts w:ascii="Verdana" w:hAnsi="Verdana"/>
                <w:sz w:val="22"/>
                <w:szCs w:val="22"/>
              </w:rPr>
            </w:pP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2F95559A" w14:textId="63F233B9" w:rsidR="00EB4AFD" w:rsidRPr="001A6419" w:rsidRDefault="00EB4AFD" w:rsidP="001A6419">
            <w:pPr>
              <w:jc w:val="both"/>
              <w:rPr>
                <w:rFonts w:ascii="Verdana" w:hAnsi="Verdana"/>
                <w:sz w:val="22"/>
                <w:szCs w:val="22"/>
              </w:rPr>
            </w:pPr>
          </w:p>
        </w:tc>
      </w:tr>
      <w:tr w:rsidR="00EB4AFD" w:rsidRPr="001A6419" w14:paraId="3DBEB984" w14:textId="77777777" w:rsidTr="00EB4AFD">
        <w:trPr>
          <w:trHeight w:val="255"/>
          <w:tblCellSpacing w:w="0" w:type="dxa"/>
        </w:trPr>
        <w:tc>
          <w:tcPr>
            <w:tcW w:w="2686"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4FF44E65" w14:textId="2ABDB0C4" w:rsidR="00EB4AFD" w:rsidRPr="001A6419" w:rsidRDefault="00EB4AFD" w:rsidP="001A6419">
            <w:pPr>
              <w:jc w:val="both"/>
              <w:rPr>
                <w:rFonts w:ascii="Verdana" w:hAnsi="Verdana"/>
                <w:sz w:val="22"/>
                <w:szCs w:val="22"/>
              </w:rPr>
            </w:pPr>
          </w:p>
        </w:tc>
        <w:tc>
          <w:tcPr>
            <w:tcW w:w="2693" w:type="dxa"/>
            <w:tcBorders>
              <w:bottom w:val="single" w:sz="6" w:space="0" w:color="000000"/>
              <w:right w:val="single" w:sz="6" w:space="0" w:color="000000"/>
            </w:tcBorders>
            <w:tcMar>
              <w:top w:w="0" w:type="dxa"/>
              <w:left w:w="45" w:type="dxa"/>
              <w:bottom w:w="0" w:type="dxa"/>
              <w:right w:w="45" w:type="dxa"/>
            </w:tcMar>
            <w:vAlign w:val="center"/>
          </w:tcPr>
          <w:p w14:paraId="6A705141" w14:textId="74D8583A" w:rsidR="00EB4AFD" w:rsidRPr="001A6419" w:rsidRDefault="00EB4AFD" w:rsidP="001A6419">
            <w:pPr>
              <w:jc w:val="both"/>
              <w:rPr>
                <w:rFonts w:ascii="Verdana" w:hAnsi="Verdana"/>
                <w:sz w:val="22"/>
                <w:szCs w:val="22"/>
              </w:rPr>
            </w:pPr>
          </w:p>
        </w:tc>
        <w:tc>
          <w:tcPr>
            <w:tcW w:w="2410" w:type="dxa"/>
            <w:tcBorders>
              <w:bottom w:val="single" w:sz="6" w:space="0" w:color="000000"/>
              <w:right w:val="single" w:sz="6" w:space="0" w:color="000000"/>
            </w:tcBorders>
            <w:tcMar>
              <w:top w:w="0" w:type="dxa"/>
              <w:left w:w="45" w:type="dxa"/>
              <w:bottom w:w="0" w:type="dxa"/>
              <w:right w:w="45" w:type="dxa"/>
            </w:tcMar>
            <w:vAlign w:val="center"/>
          </w:tcPr>
          <w:p w14:paraId="71EA1F46" w14:textId="52FDFCCE" w:rsidR="00EB4AFD" w:rsidRPr="001A6419" w:rsidRDefault="00EB4AFD" w:rsidP="001A6419">
            <w:pPr>
              <w:jc w:val="both"/>
              <w:rPr>
                <w:rFonts w:ascii="Verdana" w:hAnsi="Verdana"/>
                <w:sz w:val="22"/>
                <w:szCs w:val="22"/>
              </w:rPr>
            </w:pPr>
          </w:p>
        </w:tc>
      </w:tr>
    </w:tbl>
    <w:p w14:paraId="1F07F12D" w14:textId="0EBC002D" w:rsidR="004E434C" w:rsidRPr="001A6419" w:rsidRDefault="004E434C" w:rsidP="001A6419">
      <w:pPr>
        <w:pBdr>
          <w:top w:val="nil"/>
          <w:left w:val="nil"/>
          <w:bottom w:val="nil"/>
          <w:right w:val="nil"/>
          <w:between w:val="nil"/>
        </w:pBdr>
        <w:jc w:val="both"/>
        <w:rPr>
          <w:rFonts w:ascii="Verdana" w:eastAsia="Verdana" w:hAnsi="Verdana" w:cs="Verdana"/>
          <w:b/>
          <w:sz w:val="22"/>
          <w:szCs w:val="22"/>
          <w:highlight w:val="white"/>
        </w:rPr>
      </w:pPr>
    </w:p>
    <w:p w14:paraId="5D5F73FF" w14:textId="77777777" w:rsidR="004E434C" w:rsidRPr="001A6419" w:rsidRDefault="004E434C" w:rsidP="001A6419">
      <w:pPr>
        <w:pBdr>
          <w:top w:val="nil"/>
          <w:left w:val="nil"/>
          <w:bottom w:val="nil"/>
          <w:right w:val="nil"/>
          <w:between w:val="nil"/>
        </w:pBdr>
        <w:jc w:val="both"/>
        <w:rPr>
          <w:rFonts w:ascii="Verdana" w:eastAsia="Verdana" w:hAnsi="Verdana" w:cs="Verdana"/>
          <w:b/>
          <w:sz w:val="22"/>
          <w:szCs w:val="22"/>
          <w:highlight w:val="white"/>
        </w:rPr>
      </w:pPr>
    </w:p>
    <w:p w14:paraId="57FFD48F" w14:textId="77777777" w:rsidR="004E434C" w:rsidRPr="001A6419" w:rsidRDefault="004E434C" w:rsidP="001A6419">
      <w:pPr>
        <w:pBdr>
          <w:top w:val="nil"/>
          <w:left w:val="nil"/>
          <w:bottom w:val="nil"/>
          <w:right w:val="nil"/>
          <w:between w:val="nil"/>
        </w:pBdr>
        <w:tabs>
          <w:tab w:val="left" w:pos="2926"/>
        </w:tabs>
        <w:jc w:val="both"/>
        <w:rPr>
          <w:rFonts w:ascii="Verdana" w:eastAsia="Verdana" w:hAnsi="Verdana" w:cs="Verdana"/>
          <w:b/>
          <w:color w:val="000000"/>
          <w:sz w:val="22"/>
          <w:szCs w:val="22"/>
        </w:rPr>
      </w:pPr>
      <w:r w:rsidRPr="001A6419">
        <w:rPr>
          <w:rFonts w:ascii="Verdana" w:eastAsia="Verdana" w:hAnsi="Verdana" w:cs="Verdana"/>
          <w:b/>
          <w:sz w:val="22"/>
          <w:szCs w:val="22"/>
        </w:rPr>
        <w:t xml:space="preserve">5. </w:t>
      </w:r>
      <w:r w:rsidRPr="001A6419">
        <w:rPr>
          <w:rFonts w:ascii="Verdana" w:eastAsia="Verdana" w:hAnsi="Verdana" w:cs="Verdana"/>
          <w:b/>
          <w:color w:val="000000"/>
          <w:sz w:val="22"/>
          <w:szCs w:val="22"/>
        </w:rPr>
        <w:t>JUSTIFICACIÓN Y VALOR ESTIMADO DEL CONTRATO</w:t>
      </w:r>
    </w:p>
    <w:p w14:paraId="0C8A6977" w14:textId="1F760734"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lastRenderedPageBreak/>
        <w:t>El presupuesto oficial para el presente proceso</w:t>
      </w:r>
      <w:r w:rsidRPr="001A6419">
        <w:rPr>
          <w:rFonts w:ascii="Verdana" w:eastAsia="Verdana" w:hAnsi="Verdana" w:cs="Verdana"/>
          <w:sz w:val="22"/>
          <w:szCs w:val="22"/>
          <w:highlight w:val="white"/>
        </w:rPr>
        <w:t xml:space="preserve">, es de </w:t>
      </w:r>
      <w:r w:rsidRPr="001A6419">
        <w:rPr>
          <w:rFonts w:ascii="Verdana" w:eastAsia="Verdana" w:hAnsi="Verdana" w:cs="Verdana"/>
          <w:b/>
          <w:sz w:val="22"/>
          <w:szCs w:val="22"/>
          <w:highlight w:val="white"/>
        </w:rPr>
        <w:t xml:space="preserve">QUINCE MILLONES DE PESOS M/CTE ($15.000.000), </w:t>
      </w:r>
      <w:r w:rsidRPr="001A6419">
        <w:rPr>
          <w:rFonts w:ascii="Verdana" w:eastAsia="Verdana" w:hAnsi="Verdana" w:cs="Verdana"/>
          <w:sz w:val="22"/>
          <w:szCs w:val="22"/>
          <w:highlight w:val="white"/>
        </w:rPr>
        <w:t>para el año 2026, de conformidad con su respectivo certificado de disponibilidad presu</w:t>
      </w:r>
      <w:r w:rsidRPr="001A6419">
        <w:rPr>
          <w:rFonts w:ascii="Verdana" w:eastAsia="Verdana" w:hAnsi="Verdana" w:cs="Verdana"/>
          <w:sz w:val="22"/>
          <w:szCs w:val="22"/>
        </w:rPr>
        <w:t>puestal.</w:t>
      </w:r>
    </w:p>
    <w:p w14:paraId="34FCA2D8" w14:textId="77777777" w:rsidR="004E434C" w:rsidRPr="001A6419" w:rsidRDefault="004E434C" w:rsidP="001A6419">
      <w:pPr>
        <w:jc w:val="both"/>
        <w:rPr>
          <w:rFonts w:ascii="Verdana" w:eastAsia="Verdana" w:hAnsi="Verdana" w:cs="Verdana"/>
          <w:sz w:val="22"/>
          <w:szCs w:val="22"/>
        </w:rPr>
      </w:pPr>
      <w:r w:rsidRPr="001A6419">
        <w:rPr>
          <w:rFonts w:ascii="Verdana" w:eastAsia="Verdana" w:hAnsi="Verdana" w:cs="Verdana"/>
          <w:sz w:val="22"/>
          <w:szCs w:val="22"/>
        </w:rPr>
        <w:t>El valor presupuestado se encuentra amparado con el siguiente certificado de disponibilidad presupuestal:</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6"/>
        <w:gridCol w:w="6795"/>
      </w:tblGrid>
      <w:tr w:rsidR="004E434C" w:rsidRPr="001A6419" w14:paraId="10C79ABD" w14:textId="77777777" w:rsidTr="004B4A6D">
        <w:trPr>
          <w:trHeight w:val="20"/>
          <w:jc w:val="center"/>
        </w:trPr>
        <w:tc>
          <w:tcPr>
            <w:tcW w:w="2556" w:type="dxa"/>
            <w:vAlign w:val="center"/>
          </w:tcPr>
          <w:p w14:paraId="5AFFFD2D" w14:textId="77777777" w:rsidR="004E434C" w:rsidRPr="001A6419" w:rsidRDefault="004E434C" w:rsidP="001A6419">
            <w:pPr>
              <w:jc w:val="both"/>
              <w:rPr>
                <w:rFonts w:ascii="Verdana" w:eastAsia="Verdana" w:hAnsi="Verdana" w:cs="Verdana"/>
                <w:b/>
                <w:color w:val="000000"/>
                <w:sz w:val="22"/>
                <w:szCs w:val="22"/>
                <w:highlight w:val="yellow"/>
              </w:rPr>
            </w:pPr>
            <w:r w:rsidRPr="001A6419">
              <w:rPr>
                <w:rFonts w:ascii="Verdana" w:eastAsia="Verdana" w:hAnsi="Verdana" w:cs="Verdana"/>
                <w:b/>
                <w:sz w:val="22"/>
                <w:szCs w:val="22"/>
                <w:highlight w:val="yellow"/>
              </w:rPr>
              <w:t>NÚMERO</w:t>
            </w:r>
            <w:r w:rsidRPr="001A6419">
              <w:rPr>
                <w:rFonts w:ascii="Verdana" w:eastAsia="Verdana" w:hAnsi="Verdana" w:cs="Verdana"/>
                <w:b/>
                <w:color w:val="000000"/>
                <w:sz w:val="22"/>
                <w:szCs w:val="22"/>
                <w:highlight w:val="yellow"/>
              </w:rPr>
              <w:t xml:space="preserve"> DE CDP</w:t>
            </w:r>
          </w:p>
        </w:tc>
        <w:tc>
          <w:tcPr>
            <w:tcW w:w="6795" w:type="dxa"/>
            <w:vAlign w:val="center"/>
          </w:tcPr>
          <w:p w14:paraId="29A096D8" w14:textId="77777777" w:rsidR="004E434C" w:rsidRPr="001A6419" w:rsidRDefault="004E434C" w:rsidP="001A6419">
            <w:pPr>
              <w:jc w:val="both"/>
              <w:rPr>
                <w:rFonts w:ascii="Verdana" w:eastAsia="Verdana" w:hAnsi="Verdana" w:cs="Verdana"/>
                <w:b/>
                <w:color w:val="000000"/>
                <w:sz w:val="22"/>
                <w:szCs w:val="22"/>
                <w:highlight w:val="yellow"/>
              </w:rPr>
            </w:pPr>
            <w:r w:rsidRPr="001A6419">
              <w:rPr>
                <w:rFonts w:ascii="Verdana" w:eastAsia="Verdana" w:hAnsi="Verdana" w:cs="Verdana"/>
                <w:sz w:val="22"/>
                <w:szCs w:val="22"/>
                <w:highlight w:val="yellow"/>
              </w:rPr>
              <w:t>12425</w:t>
            </w:r>
          </w:p>
        </w:tc>
      </w:tr>
      <w:tr w:rsidR="004E434C" w:rsidRPr="001A6419" w14:paraId="69EB3886" w14:textId="77777777" w:rsidTr="004B4A6D">
        <w:trPr>
          <w:trHeight w:val="20"/>
          <w:jc w:val="center"/>
        </w:trPr>
        <w:tc>
          <w:tcPr>
            <w:tcW w:w="2556" w:type="dxa"/>
            <w:vAlign w:val="center"/>
          </w:tcPr>
          <w:p w14:paraId="5487F5F6" w14:textId="77777777" w:rsidR="004E434C" w:rsidRPr="001A6419" w:rsidRDefault="004E434C" w:rsidP="001A6419">
            <w:pPr>
              <w:jc w:val="both"/>
              <w:rPr>
                <w:rFonts w:ascii="Verdana" w:eastAsia="Verdana" w:hAnsi="Verdana" w:cs="Verdana"/>
                <w:b/>
                <w:color w:val="000000"/>
                <w:sz w:val="22"/>
                <w:szCs w:val="22"/>
                <w:highlight w:val="yellow"/>
              </w:rPr>
            </w:pPr>
            <w:r w:rsidRPr="001A6419">
              <w:rPr>
                <w:rFonts w:ascii="Verdana" w:eastAsia="Verdana" w:hAnsi="Verdana" w:cs="Verdana"/>
                <w:b/>
                <w:color w:val="000000"/>
                <w:sz w:val="22"/>
                <w:szCs w:val="22"/>
                <w:highlight w:val="yellow"/>
              </w:rPr>
              <w:t>PROYECTO DE INVERSIÓN</w:t>
            </w:r>
          </w:p>
        </w:tc>
        <w:tc>
          <w:tcPr>
            <w:tcW w:w="6795" w:type="dxa"/>
            <w:vAlign w:val="center"/>
          </w:tcPr>
          <w:p w14:paraId="7EF3CC22" w14:textId="77777777" w:rsidR="004E434C" w:rsidRPr="001A6419" w:rsidRDefault="004E434C" w:rsidP="001A6419">
            <w:pPr>
              <w:jc w:val="both"/>
              <w:rPr>
                <w:rFonts w:ascii="Verdana" w:eastAsia="Verdana" w:hAnsi="Verdana" w:cs="Verdana"/>
                <w:color w:val="000000"/>
                <w:sz w:val="22"/>
                <w:szCs w:val="22"/>
                <w:highlight w:val="yellow"/>
              </w:rPr>
            </w:pPr>
            <w:r w:rsidRPr="001A6419">
              <w:rPr>
                <w:rFonts w:ascii="Verdana" w:eastAsia="Verdana" w:hAnsi="Verdana" w:cs="Verdana"/>
                <w:color w:val="000000"/>
                <w:sz w:val="22"/>
                <w:szCs w:val="22"/>
                <w:highlight w:val="yellow"/>
              </w:rPr>
              <w:t>CONSERVACIÓN DE LA DIVERSIDAD BIOLÓGICA DE LAS ÁREAS PROTEGIDAS DEL SINAP NACIONAL.</w:t>
            </w:r>
          </w:p>
        </w:tc>
      </w:tr>
      <w:tr w:rsidR="004E434C" w:rsidRPr="001A6419" w14:paraId="50AACD45" w14:textId="77777777" w:rsidTr="004B4A6D">
        <w:trPr>
          <w:trHeight w:val="20"/>
          <w:jc w:val="center"/>
        </w:trPr>
        <w:tc>
          <w:tcPr>
            <w:tcW w:w="2556" w:type="dxa"/>
            <w:vAlign w:val="center"/>
          </w:tcPr>
          <w:p w14:paraId="7FE45666" w14:textId="77777777" w:rsidR="004E434C" w:rsidRPr="001A6419" w:rsidRDefault="004E434C" w:rsidP="001A6419">
            <w:pPr>
              <w:jc w:val="both"/>
              <w:rPr>
                <w:rFonts w:ascii="Verdana" w:eastAsia="Verdana" w:hAnsi="Verdana" w:cs="Verdana"/>
                <w:b/>
                <w:color w:val="000000"/>
                <w:sz w:val="22"/>
                <w:szCs w:val="22"/>
                <w:highlight w:val="yellow"/>
              </w:rPr>
            </w:pPr>
            <w:r w:rsidRPr="001A6419">
              <w:rPr>
                <w:rFonts w:ascii="Verdana" w:eastAsia="Verdana" w:hAnsi="Verdana" w:cs="Verdana"/>
                <w:b/>
                <w:color w:val="000000"/>
                <w:sz w:val="22"/>
                <w:szCs w:val="22"/>
                <w:highlight w:val="yellow"/>
              </w:rPr>
              <w:t>VALOR</w:t>
            </w:r>
          </w:p>
        </w:tc>
        <w:tc>
          <w:tcPr>
            <w:tcW w:w="6795" w:type="dxa"/>
            <w:vAlign w:val="center"/>
          </w:tcPr>
          <w:p w14:paraId="75D39291" w14:textId="177C87E4" w:rsidR="004E434C" w:rsidRPr="001A6419" w:rsidRDefault="004E434C" w:rsidP="001A6419">
            <w:pPr>
              <w:jc w:val="both"/>
              <w:rPr>
                <w:rFonts w:ascii="Verdana" w:eastAsia="Verdana" w:hAnsi="Verdana" w:cs="Verdana"/>
                <w:color w:val="000000"/>
                <w:sz w:val="22"/>
                <w:szCs w:val="22"/>
                <w:highlight w:val="yellow"/>
              </w:rPr>
            </w:pPr>
            <w:r w:rsidRPr="001A6419">
              <w:rPr>
                <w:rFonts w:ascii="Verdana" w:eastAsia="Verdana" w:hAnsi="Verdana" w:cs="Verdana"/>
                <w:b/>
                <w:sz w:val="22"/>
                <w:szCs w:val="22"/>
                <w:highlight w:val="white"/>
              </w:rPr>
              <w:t>QUINCE MILLONES DE PESOS M/CTE ($15.000.000)</w:t>
            </w:r>
          </w:p>
        </w:tc>
      </w:tr>
    </w:tbl>
    <w:p w14:paraId="47DC3561" w14:textId="77777777" w:rsidR="004E434C" w:rsidRPr="001A6419" w:rsidRDefault="004E434C" w:rsidP="001A6419">
      <w:pPr>
        <w:jc w:val="both"/>
        <w:rPr>
          <w:rFonts w:ascii="Verdana" w:hAnsi="Verdana"/>
          <w:sz w:val="22"/>
          <w:szCs w:val="22"/>
        </w:rPr>
      </w:pPr>
    </w:p>
    <w:sectPr w:rsidR="004E434C" w:rsidRPr="001A641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71DE"/>
    <w:multiLevelType w:val="multilevel"/>
    <w:tmpl w:val="4B1E24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061758"/>
    <w:multiLevelType w:val="multilevel"/>
    <w:tmpl w:val="729643F2"/>
    <w:lvl w:ilvl="0">
      <w:start w:val="1"/>
      <w:numFmt w:val="lowerRoman"/>
      <w:lvlText w:val="(%1)"/>
      <w:lvlJc w:val="left"/>
      <w:pPr>
        <w:ind w:left="1440" w:hanging="10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4351FD"/>
    <w:multiLevelType w:val="multilevel"/>
    <w:tmpl w:val="30406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9950F0"/>
    <w:multiLevelType w:val="multilevel"/>
    <w:tmpl w:val="9E9E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4B7B6F"/>
    <w:multiLevelType w:val="multilevel"/>
    <w:tmpl w:val="5F7C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8F60C0"/>
    <w:multiLevelType w:val="multilevel"/>
    <w:tmpl w:val="05F4D550"/>
    <w:lvl w:ilvl="0">
      <w:start w:val="1"/>
      <w:numFmt w:val="bullet"/>
      <w:pStyle w:val="Cierre"/>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7DFE4D38"/>
    <w:multiLevelType w:val="multilevel"/>
    <w:tmpl w:val="38C0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3452686">
    <w:abstractNumId w:val="2"/>
  </w:num>
  <w:num w:numId="2" w16cid:durableId="1821069656">
    <w:abstractNumId w:val="0"/>
  </w:num>
  <w:num w:numId="3" w16cid:durableId="2076275240">
    <w:abstractNumId w:val="1"/>
  </w:num>
  <w:num w:numId="4" w16cid:durableId="1745567771">
    <w:abstractNumId w:val="5"/>
  </w:num>
  <w:num w:numId="5" w16cid:durableId="856895506">
    <w:abstractNumId w:val="4"/>
  </w:num>
  <w:num w:numId="6" w16cid:durableId="1289971337">
    <w:abstractNumId w:val="3"/>
  </w:num>
  <w:num w:numId="7" w16cid:durableId="799425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34C"/>
    <w:rsid w:val="000662FD"/>
    <w:rsid w:val="00082C16"/>
    <w:rsid w:val="00097218"/>
    <w:rsid w:val="00124176"/>
    <w:rsid w:val="001A6419"/>
    <w:rsid w:val="004E434C"/>
    <w:rsid w:val="006C5BBC"/>
    <w:rsid w:val="007148CF"/>
    <w:rsid w:val="00862774"/>
    <w:rsid w:val="00877B7C"/>
    <w:rsid w:val="00B10429"/>
    <w:rsid w:val="00C73B12"/>
    <w:rsid w:val="00D14A94"/>
    <w:rsid w:val="00EB4AFD"/>
    <w:rsid w:val="00F93B10"/>
    <w:rsid w:val="00FA35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1AB77"/>
  <w15:chartTrackingRefBased/>
  <w15:docId w15:val="{066A1462-0D96-43C3-BEB0-1B8999F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419"/>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Cierre">
    <w:name w:val="Closing"/>
    <w:basedOn w:val="Normal"/>
    <w:link w:val="CierreCar"/>
    <w:rsid w:val="004E434C"/>
    <w:pPr>
      <w:numPr>
        <w:numId w:val="4"/>
      </w:numPr>
      <w:suppressAutoHyphens/>
    </w:pPr>
    <w:rPr>
      <w:rFonts w:ascii="Arial Narrow" w:hAnsi="Arial Narrow"/>
      <w:bCs/>
      <w:iCs/>
      <w:lang w:val="es" w:eastAsia="es-ES"/>
    </w:rPr>
  </w:style>
  <w:style w:type="character" w:customStyle="1" w:styleId="CierreCar">
    <w:name w:val="Cierre Car"/>
    <w:basedOn w:val="Fuentedeprrafopredeter"/>
    <w:link w:val="Cierre"/>
    <w:rsid w:val="004E434C"/>
    <w:rPr>
      <w:rFonts w:ascii="Arial Narrow" w:eastAsia="Times New Roman" w:hAnsi="Arial Narrow" w:cs="Times New Roman"/>
      <w:bCs/>
      <w:iCs/>
      <w:sz w:val="24"/>
      <w:szCs w:val="24"/>
      <w:lang w:val="es" w:eastAsia="es-ES"/>
    </w:rPr>
  </w:style>
  <w:style w:type="paragraph" w:styleId="NormalWeb">
    <w:name w:val="Normal (Web)"/>
    <w:basedOn w:val="Normal"/>
    <w:uiPriority w:val="99"/>
    <w:unhideWhenUsed/>
    <w:rsid w:val="00097218"/>
    <w:pPr>
      <w:spacing w:before="100" w:beforeAutospacing="1" w:after="100" w:afterAutospacing="1"/>
    </w:pPr>
    <w:rPr>
      <w:lang w:eastAsia="es-CO"/>
    </w:rPr>
  </w:style>
  <w:style w:type="character" w:styleId="Fuerte">
    <w:name w:val="Strong"/>
    <w:basedOn w:val="Fuentedeprrafopredeter"/>
    <w:uiPriority w:val="22"/>
    <w:qFormat/>
    <w:rsid w:val="00EB4AFD"/>
    <w:rPr>
      <w:b/>
      <w:bCs/>
    </w:rPr>
  </w:style>
  <w:style w:type="character" w:styleId="nfasis">
    <w:name w:val="Emphasis"/>
    <w:basedOn w:val="Fuentedeprrafopredeter"/>
    <w:uiPriority w:val="20"/>
    <w:qFormat/>
    <w:rsid w:val="00EB4AFD"/>
    <w:rPr>
      <w:i/>
      <w:iCs/>
    </w:rPr>
  </w:style>
  <w:style w:type="character" w:customStyle="1" w:styleId="apple-converted-space">
    <w:name w:val="apple-converted-space"/>
    <w:basedOn w:val="Fuentedeprrafopredeter"/>
    <w:rsid w:val="00D14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88777">
      <w:bodyDiv w:val="1"/>
      <w:marLeft w:val="0"/>
      <w:marRight w:val="0"/>
      <w:marTop w:val="0"/>
      <w:marBottom w:val="0"/>
      <w:divBdr>
        <w:top w:val="none" w:sz="0" w:space="0" w:color="auto"/>
        <w:left w:val="none" w:sz="0" w:space="0" w:color="auto"/>
        <w:bottom w:val="none" w:sz="0" w:space="0" w:color="auto"/>
        <w:right w:val="none" w:sz="0" w:space="0" w:color="auto"/>
      </w:divBdr>
    </w:div>
    <w:div w:id="1248466947">
      <w:bodyDiv w:val="1"/>
      <w:marLeft w:val="0"/>
      <w:marRight w:val="0"/>
      <w:marTop w:val="0"/>
      <w:marBottom w:val="0"/>
      <w:divBdr>
        <w:top w:val="none" w:sz="0" w:space="0" w:color="auto"/>
        <w:left w:val="none" w:sz="0" w:space="0" w:color="auto"/>
        <w:bottom w:val="none" w:sz="0" w:space="0" w:color="auto"/>
        <w:right w:val="none" w:sz="0" w:space="0" w:color="auto"/>
      </w:divBdr>
    </w:div>
    <w:div w:id="20938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1901</Words>
  <Characters>11334</Characters>
  <Application>Microsoft Office Word</Application>
  <DocSecurity>0</DocSecurity>
  <Lines>164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NUBIA STELLA MOSQUERA QUILINDO</dc:creator>
  <cp:keywords/>
  <dc:description/>
  <cp:lastModifiedBy>JENNIFER ESPAÑA</cp:lastModifiedBy>
  <cp:revision>2</cp:revision>
  <dcterms:created xsi:type="dcterms:W3CDTF">2026-03-20T15:27:00Z</dcterms:created>
  <dcterms:modified xsi:type="dcterms:W3CDTF">2026-03-20T15:27:00Z</dcterms:modified>
</cp:coreProperties>
</file>